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sz w:val="36"/>
          <w:szCs w:val="36"/>
        </w:rPr>
      </w:pPr>
      <w:bookmarkStart w:id="0" w:name="_Toc19442"/>
      <w:r>
        <w:rPr>
          <w:rFonts w:hint="eastAsia"/>
          <w:b/>
          <w:sz w:val="36"/>
          <w:szCs w:val="36"/>
          <w:lang w:eastAsia="zh-CN"/>
        </w:rPr>
        <w:t>附件</w:t>
      </w:r>
      <w:r>
        <w:rPr>
          <w:rFonts w:hint="eastAsia"/>
          <w:b/>
          <w:sz w:val="36"/>
          <w:szCs w:val="36"/>
          <w:lang w:val="en-US" w:eastAsia="zh-CN"/>
        </w:rPr>
        <w:t>1：</w:t>
      </w:r>
      <w:r>
        <w:rPr>
          <w:b/>
          <w:sz w:val="36"/>
          <w:szCs w:val="36"/>
        </w:rPr>
        <w:t>参选须知及参选须知前附表</w:t>
      </w:r>
      <w:bookmarkEnd w:id="0"/>
    </w:p>
    <w:p>
      <w:pPr>
        <w:spacing w:line="360" w:lineRule="auto"/>
        <w:ind w:left="180"/>
        <w:jc w:val="center"/>
        <w:rPr>
          <w:b/>
          <w:sz w:val="28"/>
          <w:szCs w:val="28"/>
        </w:rPr>
      </w:pPr>
      <w:r>
        <w:rPr>
          <w:b/>
          <w:sz w:val="28"/>
          <w:szCs w:val="28"/>
        </w:rPr>
        <w:t>参选须知前附表</w:t>
      </w:r>
    </w:p>
    <w:tbl>
      <w:tblPr>
        <w:tblStyle w:val="6"/>
        <w:tblW w:w="9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788"/>
        <w:gridCol w:w="6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10" w:type="dxa"/>
            <w:vAlign w:val="center"/>
          </w:tcPr>
          <w:p>
            <w:pPr>
              <w:spacing w:line="440" w:lineRule="exact"/>
              <w:jc w:val="center"/>
              <w:rPr>
                <w:b/>
                <w:szCs w:val="21"/>
              </w:rPr>
            </w:pPr>
            <w:r>
              <w:rPr>
                <w:b/>
                <w:szCs w:val="21"/>
              </w:rPr>
              <w:t>项号</w:t>
            </w:r>
          </w:p>
        </w:tc>
        <w:tc>
          <w:tcPr>
            <w:tcW w:w="1788" w:type="dxa"/>
            <w:vAlign w:val="center"/>
          </w:tcPr>
          <w:p>
            <w:pPr>
              <w:spacing w:line="440" w:lineRule="exact"/>
              <w:jc w:val="center"/>
              <w:rPr>
                <w:b/>
                <w:szCs w:val="21"/>
              </w:rPr>
            </w:pPr>
            <w:r>
              <w:rPr>
                <w:b/>
                <w:szCs w:val="21"/>
              </w:rPr>
              <w:t>条款号</w:t>
            </w:r>
          </w:p>
        </w:tc>
        <w:tc>
          <w:tcPr>
            <w:tcW w:w="6709" w:type="dxa"/>
            <w:vAlign w:val="center"/>
          </w:tcPr>
          <w:p>
            <w:pPr>
              <w:spacing w:line="440" w:lineRule="exact"/>
              <w:jc w:val="center"/>
              <w:rPr>
                <w:b/>
                <w:szCs w:val="21"/>
              </w:rPr>
            </w:pPr>
            <w:r>
              <w:rPr>
                <w:b/>
                <w:szCs w:val="21"/>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610" w:type="dxa"/>
            <w:vAlign w:val="center"/>
          </w:tcPr>
          <w:p>
            <w:pPr>
              <w:spacing w:line="440" w:lineRule="exact"/>
              <w:jc w:val="center"/>
              <w:rPr>
                <w:szCs w:val="21"/>
              </w:rPr>
            </w:pPr>
            <w:r>
              <w:rPr>
                <w:szCs w:val="21"/>
              </w:rPr>
              <w:t>1</w:t>
            </w:r>
          </w:p>
        </w:tc>
        <w:tc>
          <w:tcPr>
            <w:tcW w:w="1788" w:type="dxa"/>
            <w:vAlign w:val="center"/>
          </w:tcPr>
          <w:p>
            <w:pPr>
              <w:spacing w:line="440" w:lineRule="exact"/>
              <w:jc w:val="center"/>
              <w:rPr>
                <w:szCs w:val="21"/>
              </w:rPr>
            </w:pPr>
            <w:r>
              <w:rPr>
                <w:szCs w:val="21"/>
              </w:rPr>
              <w:t>项目名称</w:t>
            </w:r>
          </w:p>
        </w:tc>
        <w:tc>
          <w:tcPr>
            <w:tcW w:w="6709" w:type="dxa"/>
            <w:vAlign w:val="center"/>
          </w:tcPr>
          <w:p>
            <w:pPr>
              <w:spacing w:line="440" w:lineRule="exact"/>
              <w:rPr>
                <w:szCs w:val="21"/>
              </w:rPr>
            </w:pPr>
            <w:r>
              <w:rPr>
                <w:rFonts w:hint="eastAsia"/>
                <w:szCs w:val="21"/>
              </w:rPr>
              <w:t>西南医投集团2020年报审计服务项目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0" w:type="dxa"/>
            <w:vAlign w:val="center"/>
          </w:tcPr>
          <w:p>
            <w:pPr>
              <w:spacing w:line="440" w:lineRule="exact"/>
              <w:jc w:val="center"/>
              <w:rPr>
                <w:szCs w:val="21"/>
              </w:rPr>
            </w:pPr>
            <w:r>
              <w:rPr>
                <w:szCs w:val="21"/>
              </w:rPr>
              <w:t>2</w:t>
            </w:r>
          </w:p>
        </w:tc>
        <w:tc>
          <w:tcPr>
            <w:tcW w:w="1788" w:type="dxa"/>
            <w:vAlign w:val="center"/>
          </w:tcPr>
          <w:p>
            <w:pPr>
              <w:spacing w:line="440" w:lineRule="exact"/>
              <w:jc w:val="center"/>
              <w:rPr>
                <w:szCs w:val="21"/>
              </w:rPr>
            </w:pPr>
            <w:r>
              <w:rPr>
                <w:szCs w:val="21"/>
              </w:rPr>
              <w:t>采购预算及</w:t>
            </w:r>
          </w:p>
          <w:p>
            <w:pPr>
              <w:spacing w:line="440" w:lineRule="exact"/>
              <w:jc w:val="center"/>
              <w:rPr>
                <w:szCs w:val="21"/>
              </w:rPr>
            </w:pPr>
            <w:r>
              <w:rPr>
                <w:szCs w:val="21"/>
              </w:rPr>
              <w:t>最高限价</w:t>
            </w:r>
          </w:p>
        </w:tc>
        <w:tc>
          <w:tcPr>
            <w:tcW w:w="6709" w:type="dxa"/>
            <w:vAlign w:val="center"/>
          </w:tcPr>
          <w:p>
            <w:pPr>
              <w:spacing w:line="440" w:lineRule="exact"/>
              <w:jc w:val="left"/>
              <w:rPr>
                <w:szCs w:val="21"/>
              </w:rPr>
            </w:pPr>
            <w:r>
              <w:rPr>
                <w:szCs w:val="21"/>
              </w:rPr>
              <w:t>采购预算及最高限价：400,000.00 元（大写：肆拾万元整）。</w:t>
            </w:r>
          </w:p>
          <w:p>
            <w:pPr>
              <w:spacing w:line="440" w:lineRule="exact"/>
              <w:rPr>
                <w:szCs w:val="21"/>
              </w:rPr>
            </w:pPr>
            <w:r>
              <w:rPr>
                <w:szCs w:val="21"/>
              </w:rPr>
              <w:t>只能有一个有效报价，且超过本次采购最高限价的报价为无效报价。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Align w:val="center"/>
          </w:tcPr>
          <w:p>
            <w:pPr>
              <w:spacing w:line="440" w:lineRule="exact"/>
              <w:jc w:val="center"/>
              <w:rPr>
                <w:szCs w:val="21"/>
              </w:rPr>
            </w:pPr>
            <w:r>
              <w:rPr>
                <w:szCs w:val="21"/>
              </w:rPr>
              <w:t>3</w:t>
            </w:r>
          </w:p>
        </w:tc>
        <w:tc>
          <w:tcPr>
            <w:tcW w:w="1788" w:type="dxa"/>
            <w:vAlign w:val="center"/>
          </w:tcPr>
          <w:p>
            <w:pPr>
              <w:spacing w:line="440" w:lineRule="exact"/>
              <w:jc w:val="center"/>
              <w:rPr>
                <w:szCs w:val="21"/>
              </w:rPr>
            </w:pPr>
            <w:r>
              <w:rPr>
                <w:szCs w:val="21"/>
              </w:rPr>
              <w:t>参选有效期</w:t>
            </w:r>
          </w:p>
        </w:tc>
        <w:tc>
          <w:tcPr>
            <w:tcW w:w="6709" w:type="dxa"/>
            <w:vAlign w:val="center"/>
          </w:tcPr>
          <w:p>
            <w:pPr>
              <w:spacing w:line="440" w:lineRule="exact"/>
              <w:rPr>
                <w:szCs w:val="21"/>
              </w:rPr>
            </w:pPr>
            <w:r>
              <w:rPr>
                <w:szCs w:val="21"/>
              </w:rPr>
              <w:t>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Align w:val="center"/>
          </w:tcPr>
          <w:p>
            <w:pPr>
              <w:spacing w:line="440" w:lineRule="exact"/>
              <w:jc w:val="center"/>
              <w:rPr>
                <w:szCs w:val="21"/>
              </w:rPr>
            </w:pPr>
            <w:r>
              <w:rPr>
                <w:szCs w:val="21"/>
              </w:rPr>
              <w:t>4</w:t>
            </w:r>
          </w:p>
        </w:tc>
        <w:tc>
          <w:tcPr>
            <w:tcW w:w="1788" w:type="dxa"/>
            <w:vAlign w:val="center"/>
          </w:tcPr>
          <w:p>
            <w:pPr>
              <w:spacing w:line="440" w:lineRule="exact"/>
              <w:jc w:val="center"/>
              <w:rPr>
                <w:szCs w:val="21"/>
              </w:rPr>
            </w:pPr>
            <w:r>
              <w:rPr>
                <w:szCs w:val="21"/>
              </w:rPr>
              <w:t>参选人</w:t>
            </w:r>
          </w:p>
          <w:p>
            <w:pPr>
              <w:spacing w:line="440" w:lineRule="exact"/>
              <w:jc w:val="center"/>
              <w:rPr>
                <w:szCs w:val="21"/>
              </w:rPr>
            </w:pPr>
            <w:r>
              <w:rPr>
                <w:szCs w:val="21"/>
              </w:rPr>
              <w:t>资格要求</w:t>
            </w:r>
          </w:p>
        </w:tc>
        <w:tc>
          <w:tcPr>
            <w:tcW w:w="6709" w:type="dxa"/>
            <w:vAlign w:val="center"/>
          </w:tcPr>
          <w:p>
            <w:pPr>
              <w:pStyle w:val="8"/>
              <w:spacing w:line="440" w:lineRule="exact"/>
              <w:ind w:firstLine="420"/>
              <w:rPr>
                <w:szCs w:val="21"/>
              </w:rPr>
            </w:pPr>
            <w:r>
              <w:rPr>
                <w:szCs w:val="21"/>
              </w:rPr>
              <w:t>1、依法设立，具有相应执业资质；</w:t>
            </w:r>
          </w:p>
          <w:p>
            <w:pPr>
              <w:pStyle w:val="8"/>
              <w:spacing w:line="440" w:lineRule="exact"/>
              <w:ind w:firstLine="420"/>
              <w:rPr>
                <w:szCs w:val="21"/>
              </w:rPr>
            </w:pPr>
            <w:r>
              <w:rPr>
                <w:szCs w:val="21"/>
              </w:rPr>
              <w:t>2、合法经营、依法执业，遵守法律法规、职业道德和执业准则，有良好社会信誉；</w:t>
            </w:r>
          </w:p>
          <w:p>
            <w:pPr>
              <w:pStyle w:val="8"/>
              <w:spacing w:line="440" w:lineRule="exact"/>
              <w:ind w:firstLine="420"/>
              <w:rPr>
                <w:szCs w:val="21"/>
              </w:rPr>
            </w:pPr>
            <w:r>
              <w:rPr>
                <w:szCs w:val="21"/>
              </w:rPr>
              <w:t>3、按规定通过了有关部门的年度检验；</w:t>
            </w:r>
          </w:p>
          <w:p>
            <w:pPr>
              <w:pStyle w:val="8"/>
              <w:spacing w:line="440" w:lineRule="exact"/>
              <w:ind w:firstLine="420"/>
              <w:rPr>
                <w:szCs w:val="21"/>
              </w:rPr>
            </w:pPr>
            <w:r>
              <w:rPr>
                <w:szCs w:val="21"/>
              </w:rPr>
              <w:t>4、近三年提供的中介服务未因重大执业质量等问题受到国资监管机构等相关机构通报；</w:t>
            </w:r>
          </w:p>
          <w:p>
            <w:pPr>
              <w:pStyle w:val="8"/>
              <w:spacing w:line="440" w:lineRule="exact"/>
              <w:ind w:firstLine="420"/>
              <w:rPr>
                <w:szCs w:val="21"/>
              </w:rPr>
            </w:pPr>
            <w:r>
              <w:rPr>
                <w:szCs w:val="21"/>
              </w:rPr>
              <w:t>5、不存在</w:t>
            </w:r>
            <w:r>
              <w:rPr>
                <w:rFonts w:hint="eastAsia" w:ascii="宋体" w:cs="宋体"/>
                <w:szCs w:val="21"/>
              </w:rPr>
              <w:t>①</w:t>
            </w:r>
            <w:r>
              <w:rPr>
                <w:szCs w:val="21"/>
              </w:rPr>
              <w:t>弄虚作假、恶意串通、营私舞弊等不诚信行为的；</w:t>
            </w:r>
            <w:r>
              <w:rPr>
                <w:rFonts w:hint="eastAsia" w:ascii="宋体" w:cs="宋体"/>
                <w:szCs w:val="21"/>
              </w:rPr>
              <w:t>②</w:t>
            </w:r>
            <w:r>
              <w:rPr>
                <w:szCs w:val="21"/>
              </w:rPr>
              <w:t>分别接受利益相对方委托，就同一事项提供有利益冲突的中介服务的；</w:t>
            </w:r>
            <w:r>
              <w:rPr>
                <w:rFonts w:hint="eastAsia" w:ascii="宋体" w:cs="宋体"/>
                <w:szCs w:val="21"/>
              </w:rPr>
              <w:t>③</w:t>
            </w:r>
            <w:r>
              <w:rPr>
                <w:szCs w:val="21"/>
              </w:rPr>
              <w:t>出具虚假或失实的业务报告的；</w:t>
            </w:r>
            <w:r>
              <w:rPr>
                <w:rFonts w:hint="eastAsia" w:ascii="宋体" w:cs="宋体"/>
                <w:szCs w:val="21"/>
              </w:rPr>
              <w:t>④</w:t>
            </w:r>
            <w:r>
              <w:rPr>
                <w:szCs w:val="21"/>
              </w:rPr>
              <w:t>违反中介服务合同约定给委托方造成损失的情形；</w:t>
            </w:r>
          </w:p>
          <w:p>
            <w:pPr>
              <w:pStyle w:val="8"/>
              <w:spacing w:line="440" w:lineRule="exact"/>
              <w:ind w:firstLine="420"/>
              <w:rPr>
                <w:szCs w:val="21"/>
              </w:rPr>
            </w:pPr>
            <w:r>
              <w:rPr>
                <w:szCs w:val="21"/>
              </w:rPr>
              <w:t>6、本次比选不接受联合体参选；</w:t>
            </w:r>
          </w:p>
          <w:p>
            <w:pPr>
              <w:pStyle w:val="8"/>
              <w:spacing w:line="440" w:lineRule="exact"/>
              <w:ind w:firstLine="420"/>
              <w:rPr>
                <w:szCs w:val="21"/>
              </w:rPr>
            </w:pPr>
            <w:r>
              <w:rPr>
                <w:szCs w:val="21"/>
              </w:rPr>
              <w:t>7、法律、行政法规规定的其他条件。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Align w:val="center"/>
          </w:tcPr>
          <w:p>
            <w:pPr>
              <w:spacing w:line="440" w:lineRule="exact"/>
              <w:jc w:val="center"/>
              <w:rPr>
                <w:szCs w:val="21"/>
              </w:rPr>
            </w:pPr>
            <w:r>
              <w:rPr>
                <w:szCs w:val="21"/>
              </w:rPr>
              <w:t>5</w:t>
            </w:r>
          </w:p>
        </w:tc>
        <w:tc>
          <w:tcPr>
            <w:tcW w:w="1788" w:type="dxa"/>
            <w:vAlign w:val="center"/>
          </w:tcPr>
          <w:p>
            <w:pPr>
              <w:spacing w:line="440" w:lineRule="exact"/>
              <w:jc w:val="center"/>
              <w:rPr>
                <w:szCs w:val="21"/>
              </w:rPr>
            </w:pPr>
            <w:r>
              <w:rPr>
                <w:szCs w:val="21"/>
              </w:rPr>
              <w:t>禁止参与</w:t>
            </w:r>
          </w:p>
          <w:p>
            <w:pPr>
              <w:spacing w:line="440" w:lineRule="exact"/>
              <w:jc w:val="center"/>
              <w:rPr>
                <w:szCs w:val="21"/>
              </w:rPr>
            </w:pPr>
            <w:r>
              <w:rPr>
                <w:szCs w:val="21"/>
              </w:rPr>
              <w:t>的情形</w:t>
            </w:r>
          </w:p>
        </w:tc>
        <w:tc>
          <w:tcPr>
            <w:tcW w:w="6709" w:type="dxa"/>
            <w:vAlign w:val="center"/>
          </w:tcPr>
          <w:p>
            <w:pPr>
              <w:spacing w:line="440" w:lineRule="exact"/>
              <w:rPr>
                <w:szCs w:val="21"/>
              </w:rPr>
            </w:pPr>
            <w:r>
              <w:rPr>
                <w:szCs w:val="21"/>
              </w:rPr>
              <w:t>有下列情形之一的不得参选：</w:t>
            </w:r>
          </w:p>
          <w:p>
            <w:pPr>
              <w:pStyle w:val="8"/>
              <w:spacing w:line="440" w:lineRule="exact"/>
              <w:ind w:firstLine="420"/>
              <w:rPr>
                <w:szCs w:val="21"/>
              </w:rPr>
            </w:pPr>
            <w:r>
              <w:rPr>
                <w:szCs w:val="21"/>
              </w:rPr>
              <w:t>1.参选人借用他人名义参选的。</w:t>
            </w:r>
          </w:p>
          <w:p>
            <w:pPr>
              <w:pStyle w:val="8"/>
              <w:spacing w:line="440" w:lineRule="exact"/>
              <w:ind w:firstLine="420"/>
              <w:rPr>
                <w:szCs w:val="21"/>
              </w:rPr>
            </w:pPr>
            <w:r>
              <w:rPr>
                <w:szCs w:val="21"/>
              </w:rPr>
              <w:t>2.参选人之间法定代表人或负责人为同一人、或被同一股东或合伙人直接或间接持股的。</w:t>
            </w:r>
          </w:p>
          <w:p>
            <w:pPr>
              <w:pStyle w:val="8"/>
              <w:spacing w:line="440" w:lineRule="exact"/>
              <w:ind w:firstLine="420"/>
              <w:rPr>
                <w:szCs w:val="21"/>
              </w:rPr>
            </w:pPr>
            <w:r>
              <w:rPr>
                <w:szCs w:val="21"/>
              </w:rPr>
              <w:t>3.参选人之间法定代表人或负责人及主要技术人员相互任职或工作的。</w:t>
            </w:r>
          </w:p>
          <w:p>
            <w:pPr>
              <w:pStyle w:val="8"/>
              <w:spacing w:line="440" w:lineRule="exact"/>
              <w:ind w:firstLine="420"/>
              <w:rPr>
                <w:szCs w:val="21"/>
              </w:rPr>
            </w:pPr>
            <w:r>
              <w:rPr>
                <w:szCs w:val="21"/>
              </w:rPr>
              <w:t>4参选人之间系母公司与全资子公司、母公司与控股公司关系的。</w:t>
            </w:r>
          </w:p>
          <w:p>
            <w:pPr>
              <w:pStyle w:val="8"/>
              <w:spacing w:line="440" w:lineRule="exact"/>
              <w:ind w:firstLine="42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Align w:val="center"/>
          </w:tcPr>
          <w:p>
            <w:pPr>
              <w:spacing w:line="440" w:lineRule="exact"/>
              <w:jc w:val="center"/>
              <w:rPr>
                <w:szCs w:val="21"/>
              </w:rPr>
            </w:pPr>
            <w:r>
              <w:rPr>
                <w:rFonts w:hint="eastAsia"/>
                <w:szCs w:val="21"/>
              </w:rPr>
              <w:t>6</w:t>
            </w:r>
          </w:p>
        </w:tc>
        <w:tc>
          <w:tcPr>
            <w:tcW w:w="1788" w:type="dxa"/>
            <w:vAlign w:val="center"/>
          </w:tcPr>
          <w:p>
            <w:pPr>
              <w:spacing w:line="440" w:lineRule="exact"/>
              <w:jc w:val="center"/>
              <w:rPr>
                <w:szCs w:val="21"/>
              </w:rPr>
            </w:pPr>
            <w:r>
              <w:rPr>
                <w:szCs w:val="21"/>
              </w:rPr>
              <w:t>参选文件份数</w:t>
            </w:r>
          </w:p>
        </w:tc>
        <w:tc>
          <w:tcPr>
            <w:tcW w:w="6709" w:type="dxa"/>
            <w:vAlign w:val="center"/>
          </w:tcPr>
          <w:p>
            <w:pPr>
              <w:spacing w:line="440" w:lineRule="exact"/>
              <w:rPr>
                <w:szCs w:val="21"/>
              </w:rPr>
            </w:pPr>
            <w:r>
              <w:rPr>
                <w:bCs/>
                <w:szCs w:val="21"/>
              </w:rPr>
              <w:t>正本壹份，副本贰份，报价一览表一份。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Align w:val="center"/>
          </w:tcPr>
          <w:p>
            <w:pPr>
              <w:spacing w:line="440" w:lineRule="exact"/>
              <w:jc w:val="center"/>
              <w:rPr>
                <w:rFonts w:hint="eastAsia" w:eastAsia="宋体"/>
                <w:szCs w:val="21"/>
                <w:highlight w:val="none"/>
                <w:lang w:eastAsia="zh-CN"/>
              </w:rPr>
            </w:pPr>
            <w:r>
              <w:rPr>
                <w:rFonts w:hint="eastAsia"/>
                <w:szCs w:val="21"/>
                <w:highlight w:val="none"/>
                <w:lang w:val="en-US" w:eastAsia="zh-CN"/>
              </w:rPr>
              <w:t>7</w:t>
            </w:r>
          </w:p>
        </w:tc>
        <w:tc>
          <w:tcPr>
            <w:tcW w:w="1788" w:type="dxa"/>
            <w:vAlign w:val="center"/>
          </w:tcPr>
          <w:p>
            <w:pPr>
              <w:spacing w:line="440" w:lineRule="exact"/>
              <w:jc w:val="center"/>
              <w:rPr>
                <w:szCs w:val="21"/>
                <w:highlight w:val="none"/>
              </w:rPr>
            </w:pPr>
            <w:r>
              <w:rPr>
                <w:szCs w:val="21"/>
                <w:highlight w:val="none"/>
              </w:rPr>
              <w:t>参选文件递交</w:t>
            </w:r>
            <w:r>
              <w:rPr>
                <w:rFonts w:hint="eastAsia"/>
                <w:szCs w:val="21"/>
                <w:highlight w:val="none"/>
              </w:rPr>
              <w:t>截止</w:t>
            </w:r>
            <w:r>
              <w:rPr>
                <w:szCs w:val="21"/>
                <w:highlight w:val="none"/>
              </w:rPr>
              <w:t>时间及地点</w:t>
            </w:r>
          </w:p>
        </w:tc>
        <w:tc>
          <w:tcPr>
            <w:tcW w:w="6709" w:type="dxa"/>
            <w:vAlign w:val="center"/>
          </w:tcPr>
          <w:p>
            <w:pPr>
              <w:spacing w:line="440" w:lineRule="exact"/>
              <w:rPr>
                <w:szCs w:val="21"/>
                <w:highlight w:val="none"/>
              </w:rPr>
            </w:pPr>
            <w:r>
              <w:rPr>
                <w:szCs w:val="21"/>
                <w:highlight w:val="none"/>
              </w:rPr>
              <w:t>1.时间：2020年</w:t>
            </w:r>
            <w:r>
              <w:rPr>
                <w:rFonts w:hint="eastAsia"/>
                <w:szCs w:val="21"/>
                <w:highlight w:val="none"/>
              </w:rPr>
              <w:t>12</w:t>
            </w:r>
            <w:r>
              <w:rPr>
                <w:szCs w:val="21"/>
                <w:highlight w:val="none"/>
              </w:rPr>
              <w:t>月</w:t>
            </w:r>
            <w:r>
              <w:rPr>
                <w:rFonts w:hint="eastAsia"/>
                <w:szCs w:val="21"/>
                <w:highlight w:val="none"/>
              </w:rPr>
              <w:t>21</w:t>
            </w:r>
            <w:r>
              <w:rPr>
                <w:szCs w:val="21"/>
                <w:highlight w:val="none"/>
              </w:rPr>
              <w:t>日</w:t>
            </w:r>
            <w:r>
              <w:rPr>
                <w:rFonts w:hint="eastAsia"/>
                <w:szCs w:val="21"/>
                <w:highlight w:val="none"/>
              </w:rPr>
              <w:t>18</w:t>
            </w:r>
            <w:r>
              <w:rPr>
                <w:bCs/>
                <w:szCs w:val="21"/>
                <w:highlight w:val="none"/>
              </w:rPr>
              <w:t>:30</w:t>
            </w:r>
            <w:r>
              <w:rPr>
                <w:szCs w:val="21"/>
                <w:highlight w:val="none"/>
              </w:rPr>
              <w:t>（北京时间）</w:t>
            </w:r>
          </w:p>
          <w:p>
            <w:pPr>
              <w:spacing w:line="440" w:lineRule="exact"/>
              <w:rPr>
                <w:szCs w:val="21"/>
                <w:highlight w:val="none"/>
              </w:rPr>
            </w:pPr>
            <w:r>
              <w:rPr>
                <w:szCs w:val="21"/>
                <w:highlight w:val="none"/>
              </w:rPr>
              <w:t>2.地点：</w:t>
            </w:r>
            <w:r>
              <w:rPr>
                <w:rFonts w:hint="eastAsia"/>
                <w:szCs w:val="21"/>
                <w:highlight w:val="none"/>
              </w:rPr>
              <w:t>泸州市江阳区龙腾路10号131</w:t>
            </w:r>
            <w:r>
              <w:rPr>
                <w:szCs w:val="21"/>
                <w:highlight w:val="none"/>
              </w:rPr>
              <w:t>2</w:t>
            </w:r>
            <w:r>
              <w:rPr>
                <w:rFonts w:hint="eastAsia"/>
                <w:szCs w:val="21"/>
                <w:highlight w:val="non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Align w:val="center"/>
          </w:tcPr>
          <w:p>
            <w:pPr>
              <w:spacing w:line="440" w:lineRule="exact"/>
              <w:jc w:val="center"/>
              <w:rPr>
                <w:rFonts w:hint="eastAsia" w:eastAsia="宋体"/>
                <w:szCs w:val="21"/>
                <w:highlight w:val="none"/>
                <w:lang w:eastAsia="zh-CN"/>
              </w:rPr>
            </w:pPr>
            <w:r>
              <w:rPr>
                <w:rFonts w:hint="eastAsia"/>
                <w:szCs w:val="21"/>
                <w:highlight w:val="none"/>
                <w:lang w:val="en-US" w:eastAsia="zh-CN"/>
              </w:rPr>
              <w:t>8</w:t>
            </w:r>
          </w:p>
        </w:tc>
        <w:tc>
          <w:tcPr>
            <w:tcW w:w="1788" w:type="dxa"/>
            <w:vAlign w:val="center"/>
          </w:tcPr>
          <w:p>
            <w:pPr>
              <w:spacing w:line="440" w:lineRule="exact"/>
              <w:jc w:val="center"/>
              <w:rPr>
                <w:szCs w:val="21"/>
                <w:highlight w:val="none"/>
              </w:rPr>
            </w:pPr>
            <w:r>
              <w:rPr>
                <w:szCs w:val="21"/>
                <w:highlight w:val="none"/>
              </w:rPr>
              <w:t>比选地点</w:t>
            </w:r>
            <w:r>
              <w:rPr>
                <w:rFonts w:hint="eastAsia"/>
                <w:szCs w:val="21"/>
                <w:highlight w:val="none"/>
              </w:rPr>
              <w:t>时间</w:t>
            </w:r>
          </w:p>
        </w:tc>
        <w:tc>
          <w:tcPr>
            <w:tcW w:w="6709" w:type="dxa"/>
            <w:vAlign w:val="center"/>
          </w:tcPr>
          <w:p>
            <w:pPr>
              <w:spacing w:line="440" w:lineRule="exact"/>
              <w:rPr>
                <w:szCs w:val="21"/>
                <w:highlight w:val="none"/>
              </w:rPr>
            </w:pPr>
            <w:r>
              <w:rPr>
                <w:rFonts w:hint="eastAsia"/>
                <w:szCs w:val="21"/>
                <w:highlight w:val="none"/>
              </w:rPr>
              <w:t>1.泸州市江阳区龙腾路10号1302办公室</w:t>
            </w:r>
          </w:p>
          <w:p>
            <w:pPr>
              <w:spacing w:line="440" w:lineRule="exact"/>
              <w:rPr>
                <w:szCs w:val="21"/>
                <w:highlight w:val="none"/>
              </w:rPr>
            </w:pPr>
            <w:r>
              <w:rPr>
                <w:rFonts w:hint="eastAsia"/>
                <w:szCs w:val="21"/>
                <w:highlight w:val="none"/>
              </w:rPr>
              <w:t>2</w:t>
            </w:r>
            <w:r>
              <w:rPr>
                <w:szCs w:val="21"/>
                <w:highlight w:val="none"/>
              </w:rPr>
              <w:t>.</w:t>
            </w:r>
            <w:r>
              <w:rPr>
                <w:rFonts w:hint="eastAsia"/>
                <w:szCs w:val="21"/>
                <w:highlight w:val="none"/>
              </w:rPr>
              <w:t>2020年12月25日9:30</w:t>
            </w:r>
            <w:r>
              <w:rPr>
                <w:szCs w:val="21"/>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vAlign w:val="center"/>
          </w:tcPr>
          <w:p>
            <w:pPr>
              <w:spacing w:line="440" w:lineRule="exact"/>
              <w:jc w:val="center"/>
              <w:rPr>
                <w:rFonts w:hint="default" w:eastAsia="宋体"/>
                <w:szCs w:val="21"/>
                <w:lang w:val="en-US" w:eastAsia="zh-CN"/>
              </w:rPr>
            </w:pPr>
            <w:r>
              <w:rPr>
                <w:rFonts w:hint="eastAsia"/>
                <w:szCs w:val="21"/>
                <w:lang w:val="en-US" w:eastAsia="zh-CN"/>
              </w:rPr>
              <w:t>9</w:t>
            </w:r>
          </w:p>
        </w:tc>
        <w:tc>
          <w:tcPr>
            <w:tcW w:w="1788" w:type="dxa"/>
            <w:vAlign w:val="center"/>
          </w:tcPr>
          <w:p>
            <w:pPr>
              <w:spacing w:line="440" w:lineRule="exact"/>
              <w:jc w:val="center"/>
              <w:rPr>
                <w:szCs w:val="21"/>
              </w:rPr>
            </w:pPr>
            <w:r>
              <w:rPr>
                <w:szCs w:val="21"/>
              </w:rPr>
              <w:t>评审方法</w:t>
            </w:r>
          </w:p>
          <w:p>
            <w:pPr>
              <w:spacing w:line="440" w:lineRule="exact"/>
              <w:jc w:val="center"/>
              <w:rPr>
                <w:szCs w:val="21"/>
              </w:rPr>
            </w:pPr>
            <w:r>
              <w:rPr>
                <w:szCs w:val="21"/>
              </w:rPr>
              <w:t>及标准</w:t>
            </w:r>
          </w:p>
        </w:tc>
        <w:tc>
          <w:tcPr>
            <w:tcW w:w="6709" w:type="dxa"/>
            <w:vAlign w:val="center"/>
          </w:tcPr>
          <w:p>
            <w:pPr>
              <w:spacing w:line="440" w:lineRule="exact"/>
              <w:rPr>
                <w:szCs w:val="21"/>
              </w:rPr>
            </w:pPr>
            <w:r>
              <w:rPr>
                <w:szCs w:val="21"/>
              </w:rPr>
              <w:t>综合评分法（详见比选文件）。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Align w:val="center"/>
          </w:tcPr>
          <w:p>
            <w:pPr>
              <w:spacing w:line="440" w:lineRule="exact"/>
              <w:jc w:val="center"/>
              <w:rPr>
                <w:rFonts w:hint="default" w:eastAsia="宋体"/>
                <w:szCs w:val="21"/>
                <w:lang w:val="en-US" w:eastAsia="zh-CN"/>
              </w:rPr>
            </w:pPr>
            <w:r>
              <w:rPr>
                <w:rFonts w:hint="eastAsia"/>
                <w:szCs w:val="21"/>
                <w:lang w:val="en-US" w:eastAsia="zh-CN"/>
              </w:rPr>
              <w:t>10</w:t>
            </w:r>
          </w:p>
        </w:tc>
        <w:tc>
          <w:tcPr>
            <w:tcW w:w="1788" w:type="dxa"/>
            <w:vAlign w:val="center"/>
          </w:tcPr>
          <w:p>
            <w:pPr>
              <w:spacing w:line="440" w:lineRule="exact"/>
              <w:jc w:val="center"/>
              <w:rPr>
                <w:szCs w:val="21"/>
              </w:rPr>
            </w:pPr>
            <w:r>
              <w:rPr>
                <w:szCs w:val="21"/>
                <w:lang w:val="zh-CN"/>
              </w:rPr>
              <w:t>参选文件格式</w:t>
            </w:r>
          </w:p>
        </w:tc>
        <w:tc>
          <w:tcPr>
            <w:tcW w:w="6709" w:type="dxa"/>
            <w:vAlign w:val="center"/>
          </w:tcPr>
          <w:p>
            <w:pPr>
              <w:spacing w:line="440" w:lineRule="exact"/>
              <w:rPr>
                <w:szCs w:val="21"/>
                <w:lang w:val="zh-CN"/>
              </w:rPr>
            </w:pPr>
            <w:r>
              <w:rPr>
                <w:szCs w:val="21"/>
                <w:lang w:val="zh-CN"/>
              </w:rPr>
              <w:t>1</w:t>
            </w:r>
            <w:r>
              <w:rPr>
                <w:szCs w:val="21"/>
              </w:rPr>
              <w:t>.</w:t>
            </w:r>
            <w:r>
              <w:rPr>
                <w:szCs w:val="21"/>
                <w:lang w:val="zh-CN"/>
              </w:rPr>
              <w:t>参选人不得对参选文件格式中的内容进行删减或修改。</w:t>
            </w:r>
          </w:p>
          <w:p>
            <w:pPr>
              <w:spacing w:line="440" w:lineRule="exact"/>
              <w:rPr>
                <w:szCs w:val="21"/>
                <w:lang w:val="zh-CN"/>
              </w:rPr>
            </w:pPr>
            <w:r>
              <w:rPr>
                <w:szCs w:val="21"/>
              </w:rPr>
              <w:t>2.</w:t>
            </w:r>
            <w:r>
              <w:rPr>
                <w:szCs w:val="21"/>
                <w:lang w:val="zh-CN"/>
              </w:rPr>
              <w:t>参选人可以在格式内容之后另行说明和增加相关的内容。另行说明或自行增加的内容、以及按参选文件格式在空格（下划线）由参选人填写的内容，不得与比选文件的强制性审查标准和禁止性规定相抵触。</w:t>
            </w:r>
          </w:p>
          <w:p>
            <w:pPr>
              <w:spacing w:line="440" w:lineRule="exact"/>
              <w:rPr>
                <w:szCs w:val="21"/>
                <w:lang w:val="zh-CN"/>
              </w:rPr>
            </w:pPr>
            <w:r>
              <w:rPr>
                <w:szCs w:val="21"/>
              </w:rPr>
              <w:t>3.</w:t>
            </w:r>
            <w:r>
              <w:rPr>
                <w:szCs w:val="21"/>
                <w:lang w:val="zh-CN"/>
              </w:rPr>
              <w:t>按参选文件格式在空格（下划线）由参选人填写的内容，确实没有需要填写的，在空格中用“/”标示。</w:t>
            </w:r>
          </w:p>
          <w:p>
            <w:pPr>
              <w:spacing w:line="440" w:lineRule="exact"/>
              <w:rPr>
                <w:szCs w:val="21"/>
                <w:lang w:val="zh-CN"/>
              </w:rPr>
            </w:pPr>
            <w:r>
              <w:rPr>
                <w:szCs w:val="21"/>
              </w:rPr>
              <w:t>4.</w:t>
            </w:r>
            <w:r>
              <w:rPr>
                <w:szCs w:val="21"/>
                <w:lang w:val="zh-CN"/>
              </w:rPr>
              <w:t>参选文件应对比选文件提出的所有实质性要求和条件作出实质性响应，并且实质性响应的内容不得互相矛盾。</w:t>
            </w:r>
          </w:p>
          <w:p>
            <w:pPr>
              <w:spacing w:line="440" w:lineRule="exact"/>
              <w:rPr>
                <w:szCs w:val="21"/>
                <w:lang w:val="zh-CN"/>
              </w:rPr>
            </w:pPr>
            <w:r>
              <w:rPr>
                <w:szCs w:val="21"/>
              </w:rPr>
              <w:t>5.</w:t>
            </w:r>
            <w:r>
              <w:rPr>
                <w:szCs w:val="21"/>
                <w:lang w:val="zh-CN"/>
              </w:rPr>
              <w:t>参选文件应内容完整，字迹清晰可辨。字迹模糊导致无法确认的，应作无效参选处理。</w:t>
            </w:r>
          </w:p>
          <w:p>
            <w:pPr>
              <w:spacing w:line="440" w:lineRule="exact"/>
              <w:rPr>
                <w:szCs w:val="21"/>
              </w:rPr>
            </w:pPr>
            <w:r>
              <w:rPr>
                <w:szCs w:val="21"/>
              </w:rPr>
              <w:t>6.</w:t>
            </w:r>
            <w:r>
              <w:rPr>
                <w:szCs w:val="21"/>
                <w:lang w:val="zh-CN"/>
              </w:rPr>
              <w:t>参选文件所附证明材料应内容完整并清晰可辨。所附证明材料内容不完整或字迹模糊的，评审小组可要求参选人提供原件核验。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Align w:val="center"/>
          </w:tcPr>
          <w:p>
            <w:pPr>
              <w:spacing w:line="440" w:lineRule="exact"/>
              <w:jc w:val="center"/>
              <w:rPr>
                <w:rFonts w:hint="default" w:eastAsia="宋体"/>
                <w:szCs w:val="21"/>
                <w:lang w:val="en-US" w:eastAsia="zh-CN"/>
              </w:rPr>
            </w:pPr>
            <w:r>
              <w:rPr>
                <w:rFonts w:hint="eastAsia"/>
                <w:szCs w:val="21"/>
                <w:lang w:val="en-US" w:eastAsia="zh-CN"/>
              </w:rPr>
              <w:t>11</w:t>
            </w:r>
          </w:p>
        </w:tc>
        <w:tc>
          <w:tcPr>
            <w:tcW w:w="1788" w:type="dxa"/>
            <w:vAlign w:val="center"/>
          </w:tcPr>
          <w:p>
            <w:pPr>
              <w:spacing w:line="440" w:lineRule="exact"/>
              <w:jc w:val="center"/>
              <w:rPr>
                <w:szCs w:val="21"/>
                <w:lang w:val="zh-CN"/>
              </w:rPr>
            </w:pPr>
            <w:r>
              <w:rPr>
                <w:szCs w:val="21"/>
                <w:lang w:val="zh-CN"/>
              </w:rPr>
              <w:t>装订要求</w:t>
            </w:r>
          </w:p>
        </w:tc>
        <w:tc>
          <w:tcPr>
            <w:tcW w:w="6709" w:type="dxa"/>
            <w:vAlign w:val="center"/>
          </w:tcPr>
          <w:p>
            <w:pPr>
              <w:spacing w:line="440" w:lineRule="exact"/>
              <w:rPr>
                <w:szCs w:val="21"/>
                <w:lang w:val="zh-CN"/>
              </w:rPr>
            </w:pPr>
            <w:r>
              <w:rPr>
                <w:szCs w:val="21"/>
              </w:rPr>
              <w:t>1.</w:t>
            </w:r>
            <w:r>
              <w:rPr>
                <w:szCs w:val="21"/>
                <w:lang w:val="zh-CN"/>
              </w:rPr>
              <w:t>参选文件的正本和副本一律用A4复印纸编制和复制。</w:t>
            </w:r>
          </w:p>
          <w:p>
            <w:pPr>
              <w:spacing w:line="440" w:lineRule="exact"/>
              <w:rPr>
                <w:szCs w:val="21"/>
                <w:lang w:val="zh-CN"/>
              </w:rPr>
            </w:pPr>
            <w:r>
              <w:rPr>
                <w:szCs w:val="21"/>
              </w:rPr>
              <w:t>2.</w:t>
            </w:r>
            <w:r>
              <w:rPr>
                <w:szCs w:val="21"/>
                <w:lang w:val="zh-CN"/>
              </w:rPr>
              <w:t>参选文件的正本和副本应采用粘贴方式左侧装订，不得采用活页夹等可随时拆换的方式装订，不得有零散页。</w:t>
            </w:r>
          </w:p>
          <w:p>
            <w:pPr>
              <w:spacing w:line="440" w:lineRule="exact"/>
              <w:rPr>
                <w:szCs w:val="21"/>
                <w:lang w:val="zh-CN"/>
              </w:rPr>
            </w:pPr>
            <w:r>
              <w:rPr>
                <w:szCs w:val="21"/>
              </w:rPr>
              <w:t>3.</w:t>
            </w:r>
            <w:r>
              <w:rPr>
                <w:szCs w:val="21"/>
                <w:lang w:val="zh-CN"/>
              </w:rPr>
              <w:t>参选文件应严格按照“参选文件格式”中的目录次序装订；若同一册的内容较多，可装订成若干分册，并在封面标明次序及册数。</w:t>
            </w:r>
          </w:p>
          <w:p>
            <w:pPr>
              <w:spacing w:line="440" w:lineRule="exact"/>
              <w:rPr>
                <w:szCs w:val="21"/>
                <w:lang w:val="zh-CN"/>
              </w:rPr>
            </w:pPr>
            <w:r>
              <w:rPr>
                <w:szCs w:val="21"/>
              </w:rPr>
              <w:t>4.</w:t>
            </w:r>
            <w:r>
              <w:rPr>
                <w:szCs w:val="21"/>
                <w:lang w:val="zh-CN"/>
              </w:rPr>
              <w:t>参选文件中的证明、证件及附件等的复制件应集中紧附在相应正文内容后面，并尽量与前面正文部分的顺序相对应。</w:t>
            </w:r>
          </w:p>
          <w:p>
            <w:pPr>
              <w:spacing w:line="440" w:lineRule="exact"/>
              <w:rPr>
                <w:szCs w:val="21"/>
                <w:lang w:val="zh-CN"/>
              </w:rPr>
            </w:pPr>
            <w:r>
              <w:rPr>
                <w:szCs w:val="21"/>
              </w:rPr>
              <w:t>5.</w:t>
            </w:r>
            <w:r>
              <w:rPr>
                <w:szCs w:val="21"/>
                <w:lang w:val="zh-CN"/>
              </w:rPr>
              <w:t>修改的参选文件的装订也应按本要求办理。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Align w:val="center"/>
          </w:tcPr>
          <w:p>
            <w:pPr>
              <w:spacing w:line="440" w:lineRule="exact"/>
              <w:jc w:val="center"/>
              <w:rPr>
                <w:rFonts w:hint="default" w:eastAsia="宋体"/>
                <w:szCs w:val="21"/>
                <w:lang w:val="en-US" w:eastAsia="zh-CN"/>
              </w:rPr>
            </w:pPr>
            <w:r>
              <w:rPr>
                <w:rFonts w:hint="eastAsia"/>
                <w:szCs w:val="21"/>
                <w:lang w:val="en-US" w:eastAsia="zh-CN"/>
              </w:rPr>
              <w:t>12</w:t>
            </w:r>
          </w:p>
        </w:tc>
        <w:tc>
          <w:tcPr>
            <w:tcW w:w="1788" w:type="dxa"/>
            <w:vAlign w:val="center"/>
          </w:tcPr>
          <w:p>
            <w:pPr>
              <w:spacing w:line="440" w:lineRule="exact"/>
              <w:jc w:val="center"/>
              <w:rPr>
                <w:szCs w:val="21"/>
                <w:lang w:val="zh-CN"/>
              </w:rPr>
            </w:pPr>
            <w:r>
              <w:rPr>
                <w:szCs w:val="21"/>
                <w:lang w:val="zh-CN"/>
              </w:rPr>
              <w:t>参选文件的密封</w:t>
            </w:r>
          </w:p>
        </w:tc>
        <w:tc>
          <w:tcPr>
            <w:tcW w:w="6709" w:type="dxa"/>
            <w:vAlign w:val="center"/>
          </w:tcPr>
          <w:p>
            <w:pPr>
              <w:spacing w:line="440" w:lineRule="exact"/>
              <w:rPr>
                <w:szCs w:val="21"/>
                <w:lang w:val="zh-CN"/>
              </w:rPr>
            </w:pPr>
            <w:r>
              <w:rPr>
                <w:szCs w:val="21"/>
                <w:lang w:val="zh-CN"/>
              </w:rPr>
              <w:t>参选文件正本和副本一起密封，报价一览表单独密封，并加盖密封章（企业公章）。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Align w:val="center"/>
          </w:tcPr>
          <w:p>
            <w:pPr>
              <w:spacing w:line="440" w:lineRule="exact"/>
              <w:jc w:val="center"/>
              <w:rPr>
                <w:rFonts w:hint="default" w:eastAsia="宋体"/>
                <w:szCs w:val="21"/>
                <w:lang w:val="en-US" w:eastAsia="zh-CN"/>
              </w:rPr>
            </w:pPr>
            <w:r>
              <w:rPr>
                <w:rFonts w:hint="eastAsia"/>
                <w:szCs w:val="21"/>
                <w:lang w:val="en-US" w:eastAsia="zh-CN"/>
              </w:rPr>
              <w:t>13</w:t>
            </w:r>
            <w:bookmarkStart w:id="2" w:name="_GoBack"/>
            <w:bookmarkEnd w:id="2"/>
          </w:p>
        </w:tc>
        <w:tc>
          <w:tcPr>
            <w:tcW w:w="1788" w:type="dxa"/>
            <w:vAlign w:val="center"/>
          </w:tcPr>
          <w:p>
            <w:pPr>
              <w:spacing w:line="440" w:lineRule="exact"/>
              <w:jc w:val="center"/>
              <w:rPr>
                <w:szCs w:val="21"/>
              </w:rPr>
            </w:pPr>
            <w:r>
              <w:rPr>
                <w:szCs w:val="21"/>
              </w:rPr>
              <w:t>其他</w:t>
            </w:r>
          </w:p>
        </w:tc>
        <w:tc>
          <w:tcPr>
            <w:tcW w:w="6709" w:type="dxa"/>
            <w:vAlign w:val="center"/>
          </w:tcPr>
          <w:p>
            <w:pPr>
              <w:spacing w:line="440" w:lineRule="exact"/>
              <w:rPr>
                <w:szCs w:val="21"/>
              </w:rPr>
            </w:pPr>
            <w:r>
              <w:rPr>
                <w:szCs w:val="21"/>
              </w:rPr>
              <w:t>当参选须知前附表与参选须知中有不一致时，以参选须知前附表为准。</w:t>
            </w:r>
          </w:p>
        </w:tc>
      </w:tr>
    </w:tbl>
    <w:p>
      <w:pPr>
        <w:spacing w:line="360" w:lineRule="auto"/>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3"/>
        <w:spacing w:before="0" w:after="0" w:line="560" w:lineRule="exact"/>
        <w:jc w:val="center"/>
        <w:rPr>
          <w:rFonts w:ascii="Times New Roman" w:hAnsi="Times New Roman" w:eastAsia="宋体"/>
        </w:rPr>
      </w:pPr>
      <w:r>
        <w:rPr>
          <w:rFonts w:ascii="Times New Roman" w:hAnsi="Times New Roman" w:eastAsia="宋体"/>
        </w:rPr>
        <w:t>（一）总则</w:t>
      </w:r>
    </w:p>
    <w:p>
      <w:pPr>
        <w:pStyle w:val="4"/>
        <w:spacing w:before="0" w:after="0" w:line="560" w:lineRule="exact"/>
        <w:rPr>
          <w:bCs w:val="0"/>
          <w:sz w:val="24"/>
          <w:szCs w:val="24"/>
        </w:rPr>
      </w:pPr>
      <w:r>
        <w:rPr>
          <w:bCs w:val="0"/>
          <w:sz w:val="24"/>
          <w:szCs w:val="24"/>
        </w:rPr>
        <w:t xml:space="preserve">    1、说明</w:t>
      </w:r>
    </w:p>
    <w:p>
      <w:pPr>
        <w:spacing w:line="560" w:lineRule="exact"/>
        <w:ind w:left="2"/>
        <w:rPr>
          <w:sz w:val="24"/>
        </w:rPr>
      </w:pPr>
      <w:r>
        <w:rPr>
          <w:sz w:val="24"/>
        </w:rPr>
        <w:t>本项目负责评审工作的评审小组由</w:t>
      </w:r>
      <w:r>
        <w:rPr>
          <w:rFonts w:hint="eastAsia"/>
          <w:sz w:val="24"/>
        </w:rPr>
        <w:t>5</w:t>
      </w:r>
      <w:r>
        <w:rPr>
          <w:sz w:val="24"/>
        </w:rPr>
        <w:t>名比选人组成。</w:t>
      </w:r>
    </w:p>
    <w:p>
      <w:pPr>
        <w:pStyle w:val="4"/>
        <w:spacing w:before="0" w:after="0" w:line="560" w:lineRule="exact"/>
        <w:rPr>
          <w:bCs w:val="0"/>
          <w:sz w:val="24"/>
          <w:szCs w:val="24"/>
        </w:rPr>
      </w:pPr>
      <w:r>
        <w:rPr>
          <w:bCs w:val="0"/>
          <w:sz w:val="24"/>
          <w:szCs w:val="24"/>
        </w:rPr>
        <w:t xml:space="preserve">    2、比选范围</w:t>
      </w:r>
    </w:p>
    <w:p>
      <w:pPr>
        <w:spacing w:line="560" w:lineRule="exact"/>
        <w:rPr>
          <w:sz w:val="24"/>
          <w:szCs w:val="21"/>
        </w:rPr>
      </w:pPr>
      <w:r>
        <w:rPr>
          <w:sz w:val="24"/>
          <w:szCs w:val="21"/>
        </w:rPr>
        <w:t>本比选文件第三章规定的所有内容。</w:t>
      </w:r>
    </w:p>
    <w:p>
      <w:pPr>
        <w:pStyle w:val="4"/>
        <w:spacing w:before="0" w:after="0" w:line="560" w:lineRule="exact"/>
        <w:rPr>
          <w:bCs w:val="0"/>
          <w:sz w:val="24"/>
          <w:szCs w:val="24"/>
        </w:rPr>
      </w:pPr>
      <w:r>
        <w:rPr>
          <w:bCs w:val="0"/>
          <w:sz w:val="24"/>
          <w:szCs w:val="24"/>
        </w:rPr>
        <w:t xml:space="preserve">    3、合格的参选人资格</w:t>
      </w:r>
    </w:p>
    <w:p>
      <w:pPr>
        <w:pStyle w:val="4"/>
        <w:spacing w:before="0" w:after="0" w:line="560" w:lineRule="exact"/>
        <w:rPr>
          <w:b w:val="0"/>
          <w:bCs w:val="0"/>
          <w:sz w:val="24"/>
          <w:szCs w:val="21"/>
        </w:rPr>
      </w:pPr>
      <w:r>
        <w:rPr>
          <w:b w:val="0"/>
          <w:bCs w:val="0"/>
          <w:sz w:val="24"/>
          <w:szCs w:val="21"/>
        </w:rPr>
        <w:t>见参选须知前附表。</w:t>
      </w:r>
    </w:p>
    <w:p>
      <w:pPr>
        <w:spacing w:line="560" w:lineRule="exact"/>
        <w:rPr>
          <w:sz w:val="24"/>
          <w:szCs w:val="21"/>
        </w:rPr>
      </w:pPr>
    </w:p>
    <w:p>
      <w:pPr>
        <w:pStyle w:val="3"/>
        <w:spacing w:before="0" w:after="0" w:line="560" w:lineRule="exact"/>
        <w:ind w:firstLine="3373" w:firstLineChars="1200"/>
        <w:rPr>
          <w:rFonts w:ascii="Times New Roman" w:hAnsi="Times New Roman" w:eastAsia="宋体"/>
        </w:rPr>
      </w:pPr>
      <w:r>
        <w:rPr>
          <w:rFonts w:ascii="Times New Roman" w:hAnsi="Times New Roman" w:eastAsia="宋体"/>
        </w:rPr>
        <w:t>（二）比选文件</w:t>
      </w:r>
    </w:p>
    <w:p>
      <w:pPr>
        <w:pStyle w:val="4"/>
        <w:tabs>
          <w:tab w:val="left" w:pos="1000"/>
        </w:tabs>
        <w:spacing w:before="0" w:after="0" w:line="560" w:lineRule="exact"/>
        <w:rPr>
          <w:bCs w:val="0"/>
          <w:sz w:val="24"/>
          <w:szCs w:val="24"/>
        </w:rPr>
      </w:pPr>
      <w:r>
        <w:rPr>
          <w:rFonts w:hint="eastAsia"/>
          <w:bCs w:val="0"/>
          <w:sz w:val="24"/>
          <w:szCs w:val="24"/>
        </w:rPr>
        <w:t>4</w:t>
      </w:r>
      <w:r>
        <w:rPr>
          <w:bCs w:val="0"/>
          <w:sz w:val="24"/>
          <w:szCs w:val="24"/>
        </w:rPr>
        <w:t>、比选文件的组成</w:t>
      </w:r>
    </w:p>
    <w:p>
      <w:pPr>
        <w:tabs>
          <w:tab w:val="left" w:pos="500"/>
          <w:tab w:val="left" w:pos="700"/>
        </w:tabs>
        <w:spacing w:line="560" w:lineRule="exact"/>
        <w:rPr>
          <w:sz w:val="24"/>
        </w:rPr>
      </w:pPr>
      <w:r>
        <w:rPr>
          <w:rFonts w:hint="eastAsia"/>
          <w:sz w:val="24"/>
        </w:rPr>
        <w:t>4</w:t>
      </w:r>
      <w:r>
        <w:rPr>
          <w:sz w:val="24"/>
        </w:rPr>
        <w:t>.1比选文件包括下列内容：</w:t>
      </w:r>
    </w:p>
    <w:p>
      <w:pPr>
        <w:pStyle w:val="5"/>
        <w:widowControl/>
        <w:spacing w:line="560" w:lineRule="exact"/>
        <w:ind w:left="0" w:leftChars="0"/>
        <w:rPr>
          <w:sz w:val="24"/>
        </w:rPr>
      </w:pPr>
      <w:r>
        <w:rPr>
          <w:sz w:val="24"/>
        </w:rPr>
        <w:t>第一章比选公告</w:t>
      </w:r>
    </w:p>
    <w:p>
      <w:pPr>
        <w:pStyle w:val="5"/>
        <w:widowControl/>
        <w:spacing w:line="560" w:lineRule="exact"/>
        <w:ind w:left="0" w:leftChars="0"/>
        <w:rPr>
          <w:kern w:val="0"/>
          <w:sz w:val="24"/>
        </w:rPr>
      </w:pPr>
      <w:r>
        <w:rPr>
          <w:sz w:val="24"/>
        </w:rPr>
        <w:t>第二章</w:t>
      </w:r>
      <w:r>
        <w:rPr>
          <w:kern w:val="0"/>
          <w:sz w:val="24"/>
        </w:rPr>
        <w:t>参选须知及参选须知前附表</w:t>
      </w:r>
    </w:p>
    <w:p>
      <w:pPr>
        <w:pStyle w:val="5"/>
        <w:widowControl/>
        <w:spacing w:line="560" w:lineRule="exact"/>
        <w:ind w:left="0" w:leftChars="0"/>
        <w:rPr>
          <w:kern w:val="0"/>
          <w:sz w:val="24"/>
        </w:rPr>
      </w:pPr>
      <w:r>
        <w:rPr>
          <w:sz w:val="24"/>
        </w:rPr>
        <w:t>第三章服务要求及商务要求</w:t>
      </w:r>
    </w:p>
    <w:p>
      <w:pPr>
        <w:spacing w:line="560" w:lineRule="exact"/>
        <w:rPr>
          <w:sz w:val="24"/>
        </w:rPr>
      </w:pPr>
      <w:r>
        <w:rPr>
          <w:kern w:val="0"/>
          <w:sz w:val="24"/>
        </w:rPr>
        <w:t>第四章参选</w:t>
      </w:r>
      <w:r>
        <w:rPr>
          <w:sz w:val="24"/>
        </w:rPr>
        <w:t>文件格式</w:t>
      </w:r>
    </w:p>
    <w:p>
      <w:pPr>
        <w:spacing w:line="560" w:lineRule="exact"/>
        <w:rPr>
          <w:sz w:val="24"/>
        </w:rPr>
      </w:pPr>
      <w:r>
        <w:rPr>
          <w:sz w:val="24"/>
        </w:rPr>
        <w:t>第五章合同签订事项</w:t>
      </w:r>
    </w:p>
    <w:p>
      <w:pPr>
        <w:spacing w:line="560" w:lineRule="exact"/>
        <w:rPr>
          <w:sz w:val="24"/>
        </w:rPr>
      </w:pPr>
      <w:r>
        <w:rPr>
          <w:rFonts w:hint="eastAsia"/>
          <w:sz w:val="24"/>
        </w:rPr>
        <w:t>4</w:t>
      </w:r>
      <w:r>
        <w:rPr>
          <w:sz w:val="24"/>
        </w:rPr>
        <w:t>.2 除</w:t>
      </w:r>
      <w:r>
        <w:rPr>
          <w:rFonts w:hint="eastAsia"/>
          <w:sz w:val="24"/>
        </w:rPr>
        <w:t>4</w:t>
      </w:r>
      <w:r>
        <w:rPr>
          <w:sz w:val="24"/>
        </w:rPr>
        <w:t>.1条列明的内容外，比选人在参选人提交</w:t>
      </w:r>
      <w:r>
        <w:rPr>
          <w:kern w:val="0"/>
          <w:sz w:val="24"/>
        </w:rPr>
        <w:t>参选</w:t>
      </w:r>
      <w:r>
        <w:rPr>
          <w:sz w:val="24"/>
        </w:rPr>
        <w:t>文件前，以书面形式发出的对比选文件的澄清或修改内容，均视为比选文件的组成部分，对比选人和参选人起同等约束作用。</w:t>
      </w:r>
    </w:p>
    <w:p>
      <w:pPr>
        <w:spacing w:line="560" w:lineRule="exact"/>
        <w:ind w:left="1" w:firstLine="480"/>
        <w:rPr>
          <w:sz w:val="24"/>
        </w:rPr>
      </w:pPr>
      <w:r>
        <w:rPr>
          <w:rFonts w:hint="eastAsia"/>
          <w:sz w:val="24"/>
        </w:rPr>
        <w:t>4</w:t>
      </w:r>
      <w:r>
        <w:rPr>
          <w:sz w:val="24"/>
        </w:rPr>
        <w:t>.3 参选人收到比选文件时，应检查页数。参选人发现任何页数的遗缺、任何数字或词汇模糊不清、任何词义含混或意义不清，应立即通知比选人补全或澄清。如果参选人未按上述内容提出要求而造成不良的后果，比选人不承担责任。参选人应认真审阅比选文件中所有的参选须知，如果参选人编制的参选文件不符合规定的要求，其参选文件将被视为不合格的参选文件。任何对比选文件内容的忽略或误解，都不能作为参选人不完全响应比选文件的理由。</w:t>
      </w:r>
    </w:p>
    <w:p>
      <w:pPr>
        <w:spacing w:line="560" w:lineRule="exact"/>
        <w:ind w:left="1" w:firstLine="480"/>
        <w:rPr>
          <w:sz w:val="24"/>
        </w:rPr>
      </w:pPr>
      <w:r>
        <w:rPr>
          <w:rFonts w:hint="eastAsia"/>
          <w:sz w:val="24"/>
        </w:rPr>
        <w:t>4</w:t>
      </w:r>
      <w:r>
        <w:rPr>
          <w:sz w:val="24"/>
        </w:rPr>
        <w:t>.4比选文件及补充资料前后有矛盾的，以时间在后的为准。</w:t>
      </w:r>
    </w:p>
    <w:p>
      <w:pPr>
        <w:spacing w:line="560" w:lineRule="exact"/>
        <w:ind w:left="1" w:firstLine="480"/>
        <w:rPr>
          <w:sz w:val="24"/>
        </w:rPr>
      </w:pPr>
      <w:r>
        <w:rPr>
          <w:rFonts w:hint="eastAsia"/>
          <w:sz w:val="24"/>
        </w:rPr>
        <w:t>4</w:t>
      </w:r>
      <w:r>
        <w:rPr>
          <w:sz w:val="24"/>
        </w:rPr>
        <w:t>.5本比选文件由比选人及代理机构负责解释。</w:t>
      </w:r>
    </w:p>
    <w:p>
      <w:pPr>
        <w:pStyle w:val="4"/>
        <w:tabs>
          <w:tab w:val="left" w:pos="1000"/>
        </w:tabs>
        <w:spacing w:before="0" w:after="0" w:line="560" w:lineRule="exact"/>
        <w:ind w:firstLine="480"/>
        <w:rPr>
          <w:sz w:val="24"/>
          <w:szCs w:val="24"/>
        </w:rPr>
      </w:pPr>
      <w:r>
        <w:rPr>
          <w:rFonts w:hint="eastAsia"/>
          <w:sz w:val="24"/>
          <w:szCs w:val="24"/>
        </w:rPr>
        <w:t>5</w:t>
      </w:r>
      <w:r>
        <w:rPr>
          <w:sz w:val="24"/>
          <w:szCs w:val="24"/>
        </w:rPr>
        <w:t>、报价</w:t>
      </w:r>
    </w:p>
    <w:p>
      <w:pPr>
        <w:pStyle w:val="4"/>
        <w:tabs>
          <w:tab w:val="left" w:pos="1000"/>
        </w:tabs>
        <w:spacing w:before="0" w:after="0" w:line="560" w:lineRule="exact"/>
        <w:ind w:firstLine="480"/>
        <w:rPr>
          <w:b w:val="0"/>
          <w:bCs w:val="0"/>
          <w:sz w:val="24"/>
        </w:rPr>
      </w:pPr>
      <w:r>
        <w:rPr>
          <w:rFonts w:hint="eastAsia"/>
          <w:b w:val="0"/>
          <w:bCs w:val="0"/>
          <w:sz w:val="24"/>
        </w:rPr>
        <w:t>5</w:t>
      </w:r>
      <w:r>
        <w:rPr>
          <w:b w:val="0"/>
          <w:bCs w:val="0"/>
          <w:sz w:val="24"/>
        </w:rPr>
        <w:t>.1参选人按比选文件要求进行</w:t>
      </w:r>
      <w:r>
        <w:rPr>
          <w:rFonts w:hint="eastAsia"/>
          <w:b w:val="0"/>
          <w:bCs w:val="0"/>
          <w:sz w:val="24"/>
        </w:rPr>
        <w:t>报价</w:t>
      </w:r>
      <w:r>
        <w:rPr>
          <w:b w:val="0"/>
          <w:bCs w:val="0"/>
          <w:sz w:val="24"/>
        </w:rPr>
        <w:t>。参选人应充分考虑期间各种情况和风险。</w:t>
      </w:r>
    </w:p>
    <w:p>
      <w:pPr>
        <w:pStyle w:val="4"/>
        <w:tabs>
          <w:tab w:val="left" w:pos="1000"/>
        </w:tabs>
        <w:spacing w:before="0" w:after="0" w:line="560" w:lineRule="exact"/>
        <w:ind w:firstLine="480"/>
        <w:rPr>
          <w:b w:val="0"/>
          <w:bCs w:val="0"/>
          <w:sz w:val="24"/>
        </w:rPr>
      </w:pPr>
      <w:r>
        <w:rPr>
          <w:rFonts w:hint="eastAsia"/>
          <w:b w:val="0"/>
          <w:bCs w:val="0"/>
          <w:sz w:val="24"/>
        </w:rPr>
        <w:t>5</w:t>
      </w:r>
      <w:r>
        <w:rPr>
          <w:b w:val="0"/>
          <w:bCs w:val="0"/>
          <w:sz w:val="24"/>
        </w:rPr>
        <w:t>.2 参选人的报价应是完成比选文件规定的服务范围所需的成本、人工、保险、利润、税费、差旅、食宿等全部费用。</w:t>
      </w:r>
    </w:p>
    <w:p>
      <w:pPr>
        <w:pStyle w:val="4"/>
        <w:tabs>
          <w:tab w:val="left" w:pos="1000"/>
        </w:tabs>
        <w:spacing w:before="0" w:after="0" w:line="560" w:lineRule="exact"/>
        <w:ind w:firstLine="480"/>
        <w:rPr>
          <w:sz w:val="24"/>
          <w:szCs w:val="24"/>
        </w:rPr>
      </w:pPr>
      <w:r>
        <w:rPr>
          <w:rFonts w:hint="eastAsia"/>
          <w:sz w:val="24"/>
          <w:szCs w:val="24"/>
        </w:rPr>
        <w:t>6</w:t>
      </w:r>
      <w:r>
        <w:rPr>
          <w:sz w:val="24"/>
          <w:szCs w:val="24"/>
        </w:rPr>
        <w:t>、货币</w:t>
      </w:r>
    </w:p>
    <w:p>
      <w:pPr>
        <w:pStyle w:val="4"/>
        <w:tabs>
          <w:tab w:val="left" w:pos="1000"/>
        </w:tabs>
        <w:spacing w:before="0" w:after="0" w:line="560" w:lineRule="exact"/>
        <w:ind w:firstLine="480"/>
        <w:rPr>
          <w:b w:val="0"/>
          <w:bCs w:val="0"/>
          <w:sz w:val="24"/>
        </w:rPr>
      </w:pPr>
      <w:r>
        <w:rPr>
          <w:rFonts w:hint="eastAsia"/>
          <w:b w:val="0"/>
          <w:bCs w:val="0"/>
          <w:sz w:val="24"/>
        </w:rPr>
        <w:t>6</w:t>
      </w:r>
      <w:r>
        <w:rPr>
          <w:b w:val="0"/>
          <w:bCs w:val="0"/>
          <w:sz w:val="24"/>
        </w:rPr>
        <w:t>.1 本项目报价采用的币种为人民币。</w:t>
      </w:r>
    </w:p>
    <w:p>
      <w:pPr>
        <w:pStyle w:val="3"/>
        <w:spacing w:before="0" w:after="0" w:line="560" w:lineRule="exact"/>
        <w:rPr>
          <w:rFonts w:ascii="Times New Roman" w:hAnsi="Times New Roman" w:eastAsia="宋体"/>
          <w:bCs w:val="0"/>
        </w:rPr>
      </w:pPr>
    </w:p>
    <w:p>
      <w:pPr>
        <w:pStyle w:val="3"/>
        <w:spacing w:before="0" w:after="0" w:line="560" w:lineRule="exact"/>
        <w:jc w:val="center"/>
        <w:rPr>
          <w:rFonts w:ascii="Times New Roman" w:hAnsi="Times New Roman" w:eastAsia="宋体"/>
        </w:rPr>
      </w:pPr>
      <w:r>
        <w:rPr>
          <w:rFonts w:ascii="Times New Roman" w:hAnsi="Times New Roman" w:eastAsia="宋体"/>
          <w:bCs w:val="0"/>
        </w:rPr>
        <w:t>（</w:t>
      </w:r>
      <w:r>
        <w:rPr>
          <w:rFonts w:hint="eastAsia" w:ascii="Times New Roman" w:hAnsi="Times New Roman" w:eastAsia="宋体"/>
          <w:bCs w:val="0"/>
        </w:rPr>
        <w:t>三</w:t>
      </w:r>
      <w:r>
        <w:rPr>
          <w:rFonts w:ascii="Times New Roman" w:hAnsi="Times New Roman" w:eastAsia="宋体"/>
          <w:bCs w:val="0"/>
        </w:rPr>
        <w:t>）评审</w:t>
      </w:r>
    </w:p>
    <w:p>
      <w:pPr>
        <w:pStyle w:val="4"/>
        <w:keepNext w:val="0"/>
        <w:keepLines w:val="0"/>
        <w:spacing w:before="0" w:after="0" w:line="560" w:lineRule="exact"/>
        <w:rPr>
          <w:sz w:val="24"/>
          <w:szCs w:val="24"/>
        </w:rPr>
      </w:pPr>
      <w:r>
        <w:rPr>
          <w:rFonts w:hint="eastAsia"/>
          <w:sz w:val="24"/>
          <w:szCs w:val="24"/>
        </w:rPr>
        <w:t>7</w:t>
      </w:r>
      <w:r>
        <w:rPr>
          <w:sz w:val="24"/>
          <w:szCs w:val="24"/>
        </w:rPr>
        <w:t>、评审小组与评审</w:t>
      </w:r>
    </w:p>
    <w:p>
      <w:pPr>
        <w:spacing w:line="560" w:lineRule="exact"/>
        <w:rPr>
          <w:sz w:val="24"/>
        </w:rPr>
      </w:pPr>
      <w:r>
        <w:rPr>
          <w:rFonts w:hint="eastAsia"/>
          <w:sz w:val="24"/>
        </w:rPr>
        <w:t>7.1</w:t>
      </w:r>
      <w:r>
        <w:rPr>
          <w:sz w:val="24"/>
        </w:rPr>
        <w:t>本项目负责评审工作的评审小组由</w:t>
      </w:r>
      <w:r>
        <w:rPr>
          <w:rFonts w:hint="eastAsia"/>
          <w:sz w:val="24"/>
        </w:rPr>
        <w:t>5</w:t>
      </w:r>
      <w:r>
        <w:rPr>
          <w:sz w:val="24"/>
        </w:rPr>
        <w:t>名比选人组成。</w:t>
      </w:r>
    </w:p>
    <w:p>
      <w:pPr>
        <w:spacing w:line="560" w:lineRule="exact"/>
        <w:ind w:firstLine="480"/>
        <w:rPr>
          <w:sz w:val="24"/>
        </w:rPr>
      </w:pPr>
      <w:r>
        <w:rPr>
          <w:rFonts w:hint="eastAsia"/>
          <w:sz w:val="24"/>
        </w:rPr>
        <w:t>7</w:t>
      </w:r>
      <w:r>
        <w:rPr>
          <w:sz w:val="24"/>
        </w:rPr>
        <w:t>.2 整个评审过程采用保密方式进行。</w:t>
      </w:r>
    </w:p>
    <w:p>
      <w:pPr>
        <w:spacing w:line="560" w:lineRule="exact"/>
        <w:ind w:firstLine="480"/>
        <w:rPr>
          <w:sz w:val="24"/>
        </w:rPr>
      </w:pPr>
      <w:r>
        <w:rPr>
          <w:rFonts w:hint="eastAsia"/>
          <w:sz w:val="24"/>
        </w:rPr>
        <w:t>7</w:t>
      </w:r>
      <w:r>
        <w:rPr>
          <w:sz w:val="24"/>
        </w:rPr>
        <w:t>.3 评审小组根据比选规则和参选人最后报价进行最终评审打分，并按总得分由高到低推荐中选候选人。</w:t>
      </w:r>
    </w:p>
    <w:p>
      <w:pPr>
        <w:pStyle w:val="4"/>
        <w:keepNext w:val="0"/>
        <w:keepLines w:val="0"/>
        <w:spacing w:before="0" w:after="0" w:line="560" w:lineRule="exact"/>
        <w:ind w:firstLine="480"/>
        <w:rPr>
          <w:sz w:val="24"/>
          <w:szCs w:val="24"/>
        </w:rPr>
      </w:pPr>
      <w:r>
        <w:rPr>
          <w:sz w:val="24"/>
          <w:szCs w:val="24"/>
        </w:rPr>
        <w:t>13、参选文件的资格、符合性评审标准</w:t>
      </w:r>
    </w:p>
    <w:p>
      <w:pPr>
        <w:ind w:firstLine="480"/>
      </w:pPr>
    </w:p>
    <w:tbl>
      <w:tblPr>
        <w:tblStyle w:val="6"/>
        <w:tblpPr w:leftFromText="180" w:rightFromText="180" w:vertAnchor="text" w:horzAnchor="page" w:tblpX="1507" w:tblpY="569"/>
        <w:tblOverlap w:val="never"/>
        <w:tblW w:w="88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6982"/>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vAlign w:val="center"/>
          </w:tcPr>
          <w:p>
            <w:pPr>
              <w:pStyle w:val="4"/>
              <w:keepNext w:val="0"/>
              <w:keepLines w:val="0"/>
              <w:spacing w:before="0" w:after="0" w:line="560" w:lineRule="exact"/>
              <w:jc w:val="center"/>
              <w:rPr>
                <w:sz w:val="21"/>
                <w:szCs w:val="21"/>
              </w:rPr>
            </w:pPr>
            <w:r>
              <w:rPr>
                <w:sz w:val="21"/>
                <w:szCs w:val="21"/>
              </w:rPr>
              <w:t>序号</w:t>
            </w:r>
          </w:p>
        </w:tc>
        <w:tc>
          <w:tcPr>
            <w:tcW w:w="6982" w:type="dxa"/>
            <w:vAlign w:val="center"/>
          </w:tcPr>
          <w:p>
            <w:pPr>
              <w:pStyle w:val="4"/>
              <w:keepNext w:val="0"/>
              <w:keepLines w:val="0"/>
              <w:spacing w:before="0" w:after="0" w:line="560" w:lineRule="exact"/>
              <w:jc w:val="center"/>
              <w:rPr>
                <w:sz w:val="21"/>
                <w:szCs w:val="21"/>
              </w:rPr>
            </w:pPr>
            <w:r>
              <w:rPr>
                <w:sz w:val="21"/>
                <w:szCs w:val="21"/>
              </w:rPr>
              <w:t>审查内容</w:t>
            </w:r>
          </w:p>
        </w:tc>
        <w:tc>
          <w:tcPr>
            <w:tcW w:w="1140" w:type="dxa"/>
            <w:vAlign w:val="center"/>
          </w:tcPr>
          <w:p>
            <w:pPr>
              <w:pStyle w:val="4"/>
              <w:keepNext w:val="0"/>
              <w:keepLines w:val="0"/>
              <w:spacing w:before="0" w:after="0" w:line="560" w:lineRule="exact"/>
              <w:jc w:val="center"/>
              <w:rPr>
                <w:sz w:val="21"/>
                <w:szCs w:val="21"/>
              </w:rPr>
            </w:pPr>
            <w:r>
              <w:rPr>
                <w:sz w:val="21"/>
                <w:szCs w:val="21"/>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4"/>
              <w:keepNext w:val="0"/>
              <w:keepLines w:val="0"/>
              <w:spacing w:before="0" w:after="0" w:line="560" w:lineRule="exact"/>
              <w:jc w:val="center"/>
              <w:rPr>
                <w:sz w:val="21"/>
                <w:szCs w:val="21"/>
              </w:rPr>
            </w:pPr>
            <w:r>
              <w:rPr>
                <w:sz w:val="21"/>
                <w:szCs w:val="21"/>
              </w:rPr>
              <w:t>1</w:t>
            </w:r>
          </w:p>
        </w:tc>
        <w:tc>
          <w:tcPr>
            <w:tcW w:w="6982" w:type="dxa"/>
            <w:vAlign w:val="center"/>
          </w:tcPr>
          <w:p>
            <w:pPr>
              <w:adjustRightInd w:val="0"/>
              <w:snapToGrid w:val="0"/>
              <w:spacing w:line="400" w:lineRule="exact"/>
              <w:rPr>
                <w:szCs w:val="21"/>
              </w:rPr>
            </w:pPr>
            <w:r>
              <w:rPr>
                <w:szCs w:val="21"/>
              </w:rPr>
              <w:t>资格要求：</w:t>
            </w:r>
          </w:p>
          <w:p>
            <w:pPr>
              <w:adjustRightInd w:val="0"/>
              <w:snapToGrid w:val="0"/>
              <w:spacing w:line="400" w:lineRule="exact"/>
              <w:rPr>
                <w:szCs w:val="21"/>
              </w:rPr>
            </w:pPr>
            <w:r>
              <w:rPr>
                <w:szCs w:val="21"/>
              </w:rPr>
              <w:t>1、依法设立，具有相应执业资质</w:t>
            </w:r>
            <w:r>
              <w:rPr>
                <w:rFonts w:hint="eastAsia"/>
                <w:szCs w:val="21"/>
              </w:rPr>
              <w:t>（提供营业执照和会计师事务所执业证书）</w:t>
            </w:r>
            <w:r>
              <w:rPr>
                <w:szCs w:val="21"/>
              </w:rPr>
              <w:t>；</w:t>
            </w:r>
          </w:p>
          <w:p>
            <w:pPr>
              <w:adjustRightInd w:val="0"/>
              <w:snapToGrid w:val="0"/>
              <w:spacing w:line="400" w:lineRule="exact"/>
              <w:rPr>
                <w:szCs w:val="21"/>
              </w:rPr>
            </w:pPr>
            <w:r>
              <w:rPr>
                <w:szCs w:val="21"/>
              </w:rPr>
              <w:t>2、合法经营、依法执业，遵守法律法规、职业道德和执业准则，有良好社会信誉</w:t>
            </w:r>
            <w:r>
              <w:rPr>
                <w:rFonts w:hint="eastAsia"/>
                <w:szCs w:val="21"/>
              </w:rPr>
              <w:t>（提供承诺函，格式自拟）</w:t>
            </w:r>
            <w:r>
              <w:rPr>
                <w:szCs w:val="21"/>
              </w:rPr>
              <w:t>；</w:t>
            </w:r>
          </w:p>
          <w:p>
            <w:pPr>
              <w:adjustRightInd w:val="0"/>
              <w:snapToGrid w:val="0"/>
              <w:spacing w:line="400" w:lineRule="exact"/>
              <w:rPr>
                <w:szCs w:val="21"/>
              </w:rPr>
            </w:pPr>
            <w:r>
              <w:rPr>
                <w:szCs w:val="21"/>
              </w:rPr>
              <w:t>3、按规定通过了有关部门的年度检验</w:t>
            </w:r>
            <w:r>
              <w:rPr>
                <w:rFonts w:hint="eastAsia"/>
                <w:szCs w:val="21"/>
              </w:rPr>
              <w:t>（提供承诺函，格式自拟）</w:t>
            </w:r>
            <w:r>
              <w:rPr>
                <w:szCs w:val="21"/>
              </w:rPr>
              <w:t>；</w:t>
            </w:r>
          </w:p>
          <w:p>
            <w:pPr>
              <w:adjustRightInd w:val="0"/>
              <w:snapToGrid w:val="0"/>
              <w:spacing w:line="400" w:lineRule="exact"/>
              <w:rPr>
                <w:szCs w:val="21"/>
              </w:rPr>
            </w:pPr>
            <w:r>
              <w:rPr>
                <w:szCs w:val="21"/>
              </w:rPr>
              <w:t>4、近三年提供的中介服务未因重大执业质量等问题受到国资监管机构等相关机构通报</w:t>
            </w:r>
            <w:r>
              <w:rPr>
                <w:rFonts w:hint="eastAsia"/>
                <w:szCs w:val="21"/>
              </w:rPr>
              <w:t>（提供承诺函，格式自拟）</w:t>
            </w:r>
            <w:r>
              <w:rPr>
                <w:szCs w:val="21"/>
              </w:rPr>
              <w:t>；</w:t>
            </w:r>
          </w:p>
          <w:p>
            <w:pPr>
              <w:adjustRightInd w:val="0"/>
              <w:snapToGrid w:val="0"/>
              <w:spacing w:line="400" w:lineRule="exact"/>
              <w:rPr>
                <w:szCs w:val="21"/>
              </w:rPr>
            </w:pPr>
            <w:r>
              <w:rPr>
                <w:szCs w:val="21"/>
              </w:rPr>
              <w:t>5、不存在</w:t>
            </w:r>
            <w:r>
              <w:rPr>
                <w:rFonts w:hint="eastAsia" w:ascii="宋体" w:cs="宋体"/>
                <w:szCs w:val="21"/>
              </w:rPr>
              <w:t>①</w:t>
            </w:r>
            <w:r>
              <w:rPr>
                <w:szCs w:val="21"/>
              </w:rPr>
              <w:t>弄虚作假、恶意串通、营私舞弊等不诚信行为的；</w:t>
            </w:r>
            <w:r>
              <w:rPr>
                <w:rFonts w:hint="eastAsia" w:ascii="宋体" w:cs="宋体"/>
                <w:szCs w:val="21"/>
              </w:rPr>
              <w:t>②</w:t>
            </w:r>
            <w:r>
              <w:rPr>
                <w:szCs w:val="21"/>
              </w:rPr>
              <w:t>分别接受利益相对方委托，就同一事项提供有利益冲突的中介服务的；</w:t>
            </w:r>
            <w:r>
              <w:rPr>
                <w:rFonts w:hint="eastAsia" w:ascii="宋体" w:cs="宋体"/>
                <w:szCs w:val="21"/>
              </w:rPr>
              <w:t>③</w:t>
            </w:r>
            <w:r>
              <w:rPr>
                <w:szCs w:val="21"/>
              </w:rPr>
              <w:t>出具虚假或失实的业务报告的；</w:t>
            </w:r>
            <w:r>
              <w:rPr>
                <w:rFonts w:hint="eastAsia" w:ascii="宋体" w:cs="宋体"/>
                <w:szCs w:val="21"/>
              </w:rPr>
              <w:t>④</w:t>
            </w:r>
            <w:r>
              <w:rPr>
                <w:szCs w:val="21"/>
              </w:rPr>
              <w:t>违反中介服务合同约定给委托方造成损失的情形</w:t>
            </w:r>
            <w:r>
              <w:rPr>
                <w:rFonts w:hint="eastAsia"/>
                <w:szCs w:val="21"/>
              </w:rPr>
              <w:t>（提供承诺函，格式自拟）</w:t>
            </w:r>
            <w:r>
              <w:rPr>
                <w:szCs w:val="21"/>
              </w:rPr>
              <w:t>；</w:t>
            </w:r>
          </w:p>
          <w:p>
            <w:pPr>
              <w:adjustRightInd w:val="0"/>
              <w:snapToGrid w:val="0"/>
              <w:spacing w:line="400" w:lineRule="exact"/>
              <w:rPr>
                <w:szCs w:val="21"/>
              </w:rPr>
            </w:pPr>
            <w:r>
              <w:rPr>
                <w:szCs w:val="21"/>
              </w:rPr>
              <w:t>6、本次比选不接受联合体参选；</w:t>
            </w:r>
          </w:p>
          <w:p>
            <w:pPr>
              <w:adjustRightInd w:val="0"/>
              <w:snapToGrid w:val="0"/>
              <w:spacing w:line="400" w:lineRule="exact"/>
              <w:rPr>
                <w:szCs w:val="21"/>
              </w:rPr>
            </w:pPr>
            <w:r>
              <w:rPr>
                <w:szCs w:val="21"/>
              </w:rPr>
              <w:t>7、法律、行政法规规定的其他条件。</w:t>
            </w:r>
          </w:p>
          <w:p>
            <w:pPr>
              <w:adjustRightInd w:val="0"/>
              <w:snapToGrid w:val="0"/>
              <w:spacing w:line="400" w:lineRule="exact"/>
              <w:rPr>
                <w:szCs w:val="21"/>
              </w:rPr>
            </w:pPr>
            <w:r>
              <w:rPr>
                <w:szCs w:val="21"/>
              </w:rPr>
              <w:t>其他要求：</w:t>
            </w:r>
          </w:p>
          <w:p>
            <w:pPr>
              <w:adjustRightInd w:val="0"/>
              <w:snapToGrid w:val="0"/>
              <w:spacing w:line="400" w:lineRule="exact"/>
              <w:rPr>
                <w:szCs w:val="21"/>
              </w:rPr>
            </w:pPr>
            <w:r>
              <w:rPr>
                <w:szCs w:val="21"/>
              </w:rPr>
              <w:t>8、按本比选文件要求缴纳保证金（提供保证金转款凭证）；</w:t>
            </w:r>
          </w:p>
          <w:p>
            <w:pPr>
              <w:adjustRightInd w:val="0"/>
              <w:snapToGrid w:val="0"/>
              <w:spacing w:line="400" w:lineRule="exact"/>
              <w:rPr>
                <w:szCs w:val="21"/>
              </w:rPr>
            </w:pPr>
            <w:r>
              <w:rPr>
                <w:szCs w:val="21"/>
              </w:rPr>
              <w:t>9、法定代表人或负责人身份证明（提供身份证复印件）；</w:t>
            </w:r>
          </w:p>
          <w:p>
            <w:pPr>
              <w:adjustRightInd w:val="0"/>
              <w:snapToGrid w:val="0"/>
              <w:spacing w:line="400" w:lineRule="exact"/>
              <w:rPr>
                <w:szCs w:val="21"/>
              </w:rPr>
            </w:pPr>
            <w:r>
              <w:rPr>
                <w:szCs w:val="21"/>
              </w:rPr>
              <w:t>10、法定代表人或负责人授权委托书及被授权人身份证明（限非法定代表人参与比选时提供）。</w:t>
            </w:r>
          </w:p>
        </w:tc>
        <w:tc>
          <w:tcPr>
            <w:tcW w:w="1140" w:type="dxa"/>
            <w:vAlign w:val="center"/>
          </w:tcPr>
          <w:p>
            <w:pPr>
              <w:pStyle w:val="4"/>
              <w:keepNext w:val="0"/>
              <w:keepLines w:val="0"/>
              <w:spacing w:before="0" w:after="0" w:line="56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4"/>
              <w:keepNext w:val="0"/>
              <w:keepLines w:val="0"/>
              <w:spacing w:before="0" w:after="0" w:line="560" w:lineRule="exact"/>
              <w:jc w:val="center"/>
              <w:rPr>
                <w:sz w:val="21"/>
                <w:szCs w:val="21"/>
              </w:rPr>
            </w:pPr>
            <w:r>
              <w:rPr>
                <w:sz w:val="21"/>
                <w:szCs w:val="21"/>
              </w:rPr>
              <w:t>2</w:t>
            </w:r>
          </w:p>
        </w:tc>
        <w:tc>
          <w:tcPr>
            <w:tcW w:w="6982" w:type="dxa"/>
            <w:vAlign w:val="center"/>
          </w:tcPr>
          <w:p>
            <w:pPr>
              <w:adjustRightInd w:val="0"/>
              <w:snapToGrid w:val="0"/>
              <w:spacing w:line="400" w:lineRule="exact"/>
              <w:rPr>
                <w:szCs w:val="21"/>
              </w:rPr>
            </w:pPr>
            <w:r>
              <w:rPr>
                <w:szCs w:val="21"/>
              </w:rPr>
              <w:t>参选文件格式符合比选文件要求。</w:t>
            </w:r>
          </w:p>
        </w:tc>
        <w:tc>
          <w:tcPr>
            <w:tcW w:w="1140" w:type="dxa"/>
            <w:vAlign w:val="center"/>
          </w:tcPr>
          <w:p>
            <w:pPr>
              <w:pStyle w:val="4"/>
              <w:keepNext w:val="0"/>
              <w:keepLines w:val="0"/>
              <w:spacing w:before="0" w:after="0" w:line="56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vAlign w:val="center"/>
          </w:tcPr>
          <w:p>
            <w:pPr>
              <w:pStyle w:val="4"/>
              <w:keepNext w:val="0"/>
              <w:keepLines w:val="0"/>
              <w:spacing w:before="0" w:after="0" w:line="560" w:lineRule="exact"/>
              <w:jc w:val="center"/>
              <w:rPr>
                <w:sz w:val="21"/>
                <w:szCs w:val="21"/>
              </w:rPr>
            </w:pPr>
            <w:r>
              <w:rPr>
                <w:sz w:val="21"/>
                <w:szCs w:val="21"/>
              </w:rPr>
              <w:t>3</w:t>
            </w:r>
          </w:p>
        </w:tc>
        <w:tc>
          <w:tcPr>
            <w:tcW w:w="6982" w:type="dxa"/>
            <w:vAlign w:val="center"/>
          </w:tcPr>
          <w:p>
            <w:pPr>
              <w:adjustRightInd w:val="0"/>
              <w:snapToGrid w:val="0"/>
              <w:spacing w:line="400" w:lineRule="exact"/>
              <w:rPr>
                <w:szCs w:val="21"/>
              </w:rPr>
            </w:pPr>
            <w:r>
              <w:rPr>
                <w:szCs w:val="21"/>
              </w:rPr>
              <w:t>参选文件按比选文件中有关要求提交相应的参选文件份数、签字和盖章。</w:t>
            </w:r>
          </w:p>
        </w:tc>
        <w:tc>
          <w:tcPr>
            <w:tcW w:w="1140" w:type="dxa"/>
            <w:vAlign w:val="center"/>
          </w:tcPr>
          <w:p>
            <w:pPr>
              <w:pStyle w:val="4"/>
              <w:keepNext w:val="0"/>
              <w:keepLines w:val="0"/>
              <w:spacing w:before="0" w:after="0" w:line="56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4"/>
              <w:keepNext w:val="0"/>
              <w:keepLines w:val="0"/>
              <w:spacing w:before="0" w:after="0" w:line="560" w:lineRule="exact"/>
              <w:jc w:val="center"/>
              <w:rPr>
                <w:sz w:val="21"/>
                <w:szCs w:val="21"/>
              </w:rPr>
            </w:pPr>
            <w:r>
              <w:rPr>
                <w:sz w:val="21"/>
                <w:szCs w:val="21"/>
              </w:rPr>
              <w:t>4</w:t>
            </w:r>
          </w:p>
        </w:tc>
        <w:tc>
          <w:tcPr>
            <w:tcW w:w="6982" w:type="dxa"/>
            <w:vAlign w:val="center"/>
          </w:tcPr>
          <w:p>
            <w:pPr>
              <w:adjustRightInd w:val="0"/>
              <w:snapToGrid w:val="0"/>
              <w:spacing w:line="400" w:lineRule="exact"/>
              <w:rPr>
                <w:szCs w:val="21"/>
              </w:rPr>
            </w:pPr>
            <w:r>
              <w:rPr>
                <w:szCs w:val="21"/>
              </w:rPr>
              <w:t>参选报价未超过最高限价。</w:t>
            </w:r>
          </w:p>
        </w:tc>
        <w:tc>
          <w:tcPr>
            <w:tcW w:w="1140" w:type="dxa"/>
            <w:vAlign w:val="center"/>
          </w:tcPr>
          <w:p>
            <w:pPr>
              <w:pStyle w:val="4"/>
              <w:keepNext w:val="0"/>
              <w:keepLines w:val="0"/>
              <w:spacing w:before="0" w:after="0" w:line="56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4"/>
              <w:keepNext w:val="0"/>
              <w:keepLines w:val="0"/>
              <w:spacing w:before="0" w:after="0" w:line="560" w:lineRule="exact"/>
              <w:rPr>
                <w:sz w:val="21"/>
                <w:szCs w:val="21"/>
              </w:rPr>
            </w:pPr>
          </w:p>
        </w:tc>
        <w:tc>
          <w:tcPr>
            <w:tcW w:w="6982" w:type="dxa"/>
            <w:vAlign w:val="center"/>
          </w:tcPr>
          <w:p>
            <w:pPr>
              <w:pStyle w:val="4"/>
              <w:keepNext w:val="0"/>
              <w:keepLines w:val="0"/>
              <w:spacing w:before="0" w:after="0" w:line="560" w:lineRule="exact"/>
              <w:rPr>
                <w:sz w:val="21"/>
                <w:szCs w:val="21"/>
              </w:rPr>
            </w:pPr>
            <w:r>
              <w:rPr>
                <w:sz w:val="21"/>
                <w:szCs w:val="21"/>
              </w:rPr>
              <w:t>结论</w:t>
            </w:r>
          </w:p>
        </w:tc>
        <w:tc>
          <w:tcPr>
            <w:tcW w:w="1140" w:type="dxa"/>
            <w:vAlign w:val="center"/>
          </w:tcPr>
          <w:p>
            <w:pPr>
              <w:pStyle w:val="4"/>
              <w:keepNext w:val="0"/>
              <w:keepLines w:val="0"/>
              <w:spacing w:before="0" w:after="0" w:line="560" w:lineRule="exact"/>
              <w:rPr>
                <w:sz w:val="21"/>
                <w:szCs w:val="21"/>
              </w:rPr>
            </w:pPr>
          </w:p>
        </w:tc>
      </w:tr>
    </w:tbl>
    <w:p>
      <w:pPr>
        <w:spacing w:line="560" w:lineRule="exact"/>
        <w:ind w:firstLine="360" w:firstLineChars="150"/>
        <w:rPr>
          <w:sz w:val="24"/>
        </w:rPr>
      </w:pPr>
      <w:r>
        <w:rPr>
          <w:sz w:val="24"/>
        </w:rPr>
        <w:t>注：1、表格中打“√”表示满足，“×”表示不满足，结论及“通过”和“不通过”；有任意一个“×”，表示结论“不通过”。</w:t>
      </w:r>
    </w:p>
    <w:p>
      <w:pPr>
        <w:spacing w:line="560" w:lineRule="exact"/>
        <w:ind w:firstLine="360" w:firstLineChars="150"/>
        <w:rPr>
          <w:sz w:val="24"/>
        </w:rPr>
      </w:pPr>
      <w:r>
        <w:rPr>
          <w:sz w:val="24"/>
        </w:rPr>
        <w:t>2、本项目不认可分公司或下属子公司、办事处使用总公司的资质、业绩等条件参与比选。</w:t>
      </w:r>
    </w:p>
    <w:p>
      <w:pPr>
        <w:pStyle w:val="4"/>
        <w:keepNext w:val="0"/>
        <w:keepLines w:val="0"/>
        <w:spacing w:before="0" w:after="0" w:line="560" w:lineRule="exact"/>
        <w:rPr>
          <w:sz w:val="24"/>
          <w:szCs w:val="24"/>
        </w:rPr>
      </w:pPr>
      <w:r>
        <w:rPr>
          <w:rFonts w:hint="eastAsia"/>
          <w:sz w:val="24"/>
          <w:szCs w:val="24"/>
        </w:rPr>
        <w:t>8</w:t>
      </w:r>
      <w:r>
        <w:rPr>
          <w:sz w:val="24"/>
          <w:szCs w:val="24"/>
        </w:rPr>
        <w:t>、评审方法和标准</w:t>
      </w:r>
    </w:p>
    <w:p>
      <w:pPr>
        <w:spacing w:line="560" w:lineRule="exact"/>
        <w:rPr>
          <w:sz w:val="24"/>
        </w:rPr>
      </w:pPr>
      <w:r>
        <w:rPr>
          <w:rFonts w:hint="eastAsia"/>
          <w:sz w:val="24"/>
        </w:rPr>
        <w:t>8</w:t>
      </w:r>
      <w:r>
        <w:rPr>
          <w:sz w:val="24"/>
        </w:rPr>
        <w:t>.1本项目采用综合评分法进行评审。</w:t>
      </w:r>
    </w:p>
    <w:p>
      <w:pPr>
        <w:spacing w:line="560" w:lineRule="exact"/>
        <w:ind w:firstLine="480"/>
        <w:rPr>
          <w:bCs/>
          <w:sz w:val="24"/>
        </w:rPr>
      </w:pPr>
      <w:r>
        <w:rPr>
          <w:rFonts w:hint="eastAsia"/>
          <w:bCs/>
          <w:sz w:val="24"/>
        </w:rPr>
        <w:t>8</w:t>
      </w:r>
      <w:r>
        <w:rPr>
          <w:bCs/>
          <w:sz w:val="24"/>
        </w:rPr>
        <w:t>.2 评审标准</w:t>
      </w:r>
    </w:p>
    <w:p>
      <w:pPr>
        <w:pStyle w:val="2"/>
      </w:pPr>
    </w:p>
    <w:p>
      <w:pPr>
        <w:pStyle w:val="2"/>
      </w:pPr>
    </w:p>
    <w:p>
      <w:pPr>
        <w:pStyle w:val="2"/>
      </w:pPr>
    </w:p>
    <w:p>
      <w:pPr>
        <w:pStyle w:val="2"/>
      </w:pPr>
    </w:p>
    <w:p>
      <w:pPr>
        <w:pStyle w:val="2"/>
      </w:pPr>
    </w:p>
    <w:p>
      <w:pPr>
        <w:pStyle w:val="2"/>
      </w:pPr>
    </w:p>
    <w:p>
      <w:pPr>
        <w:pStyle w:val="2"/>
      </w:pPr>
    </w:p>
    <w:tbl>
      <w:tblPr>
        <w:tblStyle w:val="6"/>
        <w:tblW w:w="9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317"/>
        <w:gridCol w:w="885"/>
        <w:gridCol w:w="5794"/>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5" w:type="dxa"/>
            <w:vAlign w:val="center"/>
          </w:tcPr>
          <w:p>
            <w:pPr>
              <w:pStyle w:val="4"/>
              <w:keepNext w:val="0"/>
              <w:keepLines w:val="0"/>
              <w:spacing w:before="0" w:after="0" w:line="560" w:lineRule="exact"/>
              <w:rPr>
                <w:sz w:val="22"/>
                <w:szCs w:val="22"/>
              </w:rPr>
            </w:pPr>
            <w:r>
              <w:rPr>
                <w:rFonts w:hint="eastAsia"/>
                <w:sz w:val="24"/>
                <w:szCs w:val="24"/>
              </w:rPr>
              <w:t>序</w:t>
            </w:r>
            <w:r>
              <w:rPr>
                <w:sz w:val="22"/>
                <w:szCs w:val="22"/>
              </w:rPr>
              <w:t>号</w:t>
            </w:r>
          </w:p>
        </w:tc>
        <w:tc>
          <w:tcPr>
            <w:tcW w:w="1317" w:type="dxa"/>
            <w:vAlign w:val="center"/>
          </w:tcPr>
          <w:p>
            <w:pPr>
              <w:adjustRightInd w:val="0"/>
              <w:snapToGrid w:val="0"/>
              <w:spacing w:line="400" w:lineRule="exact"/>
              <w:rPr>
                <w:b/>
                <w:sz w:val="22"/>
                <w:szCs w:val="22"/>
              </w:rPr>
            </w:pPr>
            <w:r>
              <w:rPr>
                <w:b/>
                <w:sz w:val="22"/>
                <w:szCs w:val="22"/>
              </w:rPr>
              <w:t>评分因素</w:t>
            </w:r>
          </w:p>
          <w:p>
            <w:pPr>
              <w:adjustRightInd w:val="0"/>
              <w:snapToGrid w:val="0"/>
              <w:spacing w:line="400" w:lineRule="exact"/>
              <w:rPr>
                <w:b/>
                <w:sz w:val="22"/>
                <w:szCs w:val="22"/>
              </w:rPr>
            </w:pPr>
            <w:r>
              <w:rPr>
                <w:b/>
                <w:sz w:val="22"/>
                <w:szCs w:val="22"/>
              </w:rPr>
              <w:t>及权重</w:t>
            </w:r>
          </w:p>
        </w:tc>
        <w:tc>
          <w:tcPr>
            <w:tcW w:w="885" w:type="dxa"/>
            <w:vAlign w:val="center"/>
          </w:tcPr>
          <w:p>
            <w:pPr>
              <w:adjustRightInd w:val="0"/>
              <w:snapToGrid w:val="0"/>
              <w:spacing w:line="400" w:lineRule="exact"/>
              <w:rPr>
                <w:b/>
                <w:sz w:val="22"/>
                <w:szCs w:val="22"/>
              </w:rPr>
            </w:pPr>
            <w:r>
              <w:rPr>
                <w:b/>
                <w:sz w:val="22"/>
                <w:szCs w:val="22"/>
              </w:rPr>
              <w:t>分　值</w:t>
            </w:r>
          </w:p>
        </w:tc>
        <w:tc>
          <w:tcPr>
            <w:tcW w:w="5794" w:type="dxa"/>
            <w:vAlign w:val="center"/>
          </w:tcPr>
          <w:p>
            <w:pPr>
              <w:adjustRightInd w:val="0"/>
              <w:snapToGrid w:val="0"/>
              <w:spacing w:line="400" w:lineRule="exact"/>
              <w:jc w:val="center"/>
              <w:rPr>
                <w:b/>
                <w:sz w:val="22"/>
                <w:szCs w:val="22"/>
              </w:rPr>
            </w:pPr>
            <w:r>
              <w:rPr>
                <w:b/>
                <w:sz w:val="22"/>
                <w:szCs w:val="22"/>
              </w:rPr>
              <w:t>评分标准</w:t>
            </w:r>
          </w:p>
        </w:tc>
        <w:tc>
          <w:tcPr>
            <w:tcW w:w="926" w:type="dxa"/>
            <w:vAlign w:val="center"/>
          </w:tcPr>
          <w:p>
            <w:pPr>
              <w:adjustRightInd w:val="0"/>
              <w:snapToGrid w:val="0"/>
              <w:spacing w:line="400" w:lineRule="exact"/>
              <w:rPr>
                <w:b/>
                <w:sz w:val="22"/>
                <w:szCs w:val="22"/>
              </w:rPr>
            </w:pPr>
            <w:r>
              <w:rPr>
                <w:b/>
                <w:sz w:val="22"/>
                <w:szCs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725" w:type="dxa"/>
            <w:vAlign w:val="center"/>
          </w:tcPr>
          <w:p>
            <w:pPr>
              <w:spacing w:line="360" w:lineRule="auto"/>
              <w:jc w:val="center"/>
              <w:rPr>
                <w:szCs w:val="21"/>
              </w:rPr>
            </w:pPr>
            <w:r>
              <w:rPr>
                <w:rFonts w:ascii="宋体"/>
                <w:szCs w:val="21"/>
              </w:rPr>
              <w:t>1</w:t>
            </w:r>
          </w:p>
        </w:tc>
        <w:tc>
          <w:tcPr>
            <w:tcW w:w="1317" w:type="dxa"/>
            <w:vAlign w:val="center"/>
          </w:tcPr>
          <w:p>
            <w:pPr>
              <w:spacing w:line="300" w:lineRule="exact"/>
              <w:jc w:val="center"/>
              <w:rPr>
                <w:szCs w:val="21"/>
              </w:rPr>
            </w:pPr>
            <w:r>
              <w:rPr>
                <w:rFonts w:ascii="宋体"/>
                <w:szCs w:val="21"/>
              </w:rPr>
              <w:t>报价20%</w:t>
            </w:r>
          </w:p>
        </w:tc>
        <w:tc>
          <w:tcPr>
            <w:tcW w:w="885" w:type="dxa"/>
            <w:vAlign w:val="center"/>
          </w:tcPr>
          <w:p>
            <w:pPr>
              <w:spacing w:line="360" w:lineRule="auto"/>
              <w:jc w:val="center"/>
              <w:rPr>
                <w:szCs w:val="21"/>
              </w:rPr>
            </w:pPr>
            <w:r>
              <w:rPr>
                <w:rFonts w:ascii="宋体"/>
                <w:szCs w:val="21"/>
              </w:rPr>
              <w:t>20分</w:t>
            </w:r>
          </w:p>
        </w:tc>
        <w:tc>
          <w:tcPr>
            <w:tcW w:w="5794" w:type="dxa"/>
            <w:vAlign w:val="center"/>
          </w:tcPr>
          <w:p>
            <w:pPr>
              <w:spacing w:line="300" w:lineRule="exact"/>
            </w:pPr>
            <w:r>
              <w:rPr>
                <w:rFonts w:ascii="宋体"/>
                <w:szCs w:val="21"/>
              </w:rPr>
              <w:t>以本次有效的</w:t>
            </w:r>
            <w:r>
              <w:rPr>
                <w:rFonts w:hint="eastAsia" w:ascii="宋体"/>
                <w:szCs w:val="21"/>
              </w:rPr>
              <w:t>平均</w:t>
            </w:r>
            <w:r>
              <w:rPr>
                <w:rFonts w:ascii="宋体"/>
                <w:szCs w:val="21"/>
              </w:rPr>
              <w:t>比选报价为基准价</w:t>
            </w:r>
            <w:r>
              <w:rPr>
                <w:rFonts w:hint="eastAsia" w:ascii="宋体"/>
                <w:szCs w:val="21"/>
              </w:rPr>
              <w:t>。等于基准价的得满分；高于基准价的报价得分=(基准价／报价)×</w:t>
            </w:r>
            <w:r>
              <w:rPr>
                <w:rFonts w:ascii="宋体"/>
                <w:szCs w:val="21"/>
              </w:rPr>
              <w:t>20</w:t>
            </w:r>
            <w:r>
              <w:rPr>
                <w:rFonts w:hint="eastAsia" w:ascii="宋体"/>
                <w:szCs w:val="21"/>
              </w:rPr>
              <w:t>；低于基准价的报价得分=(报价／基准价)×</w:t>
            </w:r>
            <w:r>
              <w:rPr>
                <w:rFonts w:ascii="宋体"/>
                <w:szCs w:val="21"/>
              </w:rPr>
              <w:t>20</w:t>
            </w:r>
            <w:r>
              <w:rPr>
                <w:rFonts w:hint="eastAsia" w:ascii="宋体"/>
                <w:szCs w:val="21"/>
              </w:rPr>
              <w:t>。</w:t>
            </w:r>
          </w:p>
        </w:tc>
        <w:tc>
          <w:tcPr>
            <w:tcW w:w="926" w:type="dxa"/>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trPr>
        <w:tc>
          <w:tcPr>
            <w:tcW w:w="725" w:type="dxa"/>
            <w:vAlign w:val="center"/>
          </w:tcPr>
          <w:p>
            <w:pPr>
              <w:spacing w:line="360" w:lineRule="auto"/>
              <w:jc w:val="center"/>
              <w:rPr>
                <w:szCs w:val="21"/>
              </w:rPr>
            </w:pPr>
            <w:r>
              <w:rPr>
                <w:rFonts w:ascii="宋体"/>
                <w:szCs w:val="21"/>
              </w:rPr>
              <w:t>2</w:t>
            </w:r>
          </w:p>
        </w:tc>
        <w:tc>
          <w:tcPr>
            <w:tcW w:w="1317" w:type="dxa"/>
            <w:vAlign w:val="center"/>
          </w:tcPr>
          <w:p>
            <w:pPr>
              <w:spacing w:line="300" w:lineRule="exact"/>
              <w:jc w:val="center"/>
              <w:rPr>
                <w:szCs w:val="21"/>
              </w:rPr>
            </w:pPr>
            <w:r>
              <w:rPr>
                <w:rFonts w:hint="eastAsia" w:ascii="宋体"/>
                <w:szCs w:val="21"/>
              </w:rPr>
              <w:t>服务</w:t>
            </w:r>
            <w:r>
              <w:rPr>
                <w:rFonts w:ascii="宋体"/>
                <w:szCs w:val="21"/>
              </w:rPr>
              <w:t>方案40%</w:t>
            </w:r>
          </w:p>
        </w:tc>
        <w:tc>
          <w:tcPr>
            <w:tcW w:w="885" w:type="dxa"/>
            <w:vAlign w:val="center"/>
          </w:tcPr>
          <w:p>
            <w:pPr>
              <w:spacing w:line="360" w:lineRule="auto"/>
              <w:jc w:val="center"/>
              <w:rPr>
                <w:szCs w:val="21"/>
              </w:rPr>
            </w:pPr>
            <w:r>
              <w:rPr>
                <w:rFonts w:ascii="宋体"/>
                <w:szCs w:val="21"/>
              </w:rPr>
              <w:t>40分</w:t>
            </w:r>
          </w:p>
        </w:tc>
        <w:tc>
          <w:tcPr>
            <w:tcW w:w="5794" w:type="dxa"/>
            <w:vAlign w:val="center"/>
          </w:tcPr>
          <w:p>
            <w:pPr>
              <w:pStyle w:val="2"/>
              <w:spacing w:after="0" w:line="300" w:lineRule="exact"/>
              <w:rPr>
                <w:szCs w:val="21"/>
              </w:rPr>
            </w:pPr>
            <w:r>
              <w:rPr>
                <w:rFonts w:hint="eastAsia" w:ascii="宋体"/>
              </w:rPr>
              <w:t>方案构思及实施：根据供应商提供的服务方案，从对项目的理解、方案构思、先进性、可操作性、进度控制等方面进行打分，具有以上5个方面内容且内容完整有效的得</w:t>
            </w:r>
            <w:r>
              <w:rPr>
                <w:rFonts w:ascii="宋体"/>
              </w:rPr>
              <w:t>40</w:t>
            </w:r>
            <w:r>
              <w:rPr>
                <w:rFonts w:hint="eastAsia" w:ascii="宋体"/>
              </w:rPr>
              <w:t>分，方案内容有缺失的，每有一个方面内容缺失扣</w:t>
            </w:r>
            <w:r>
              <w:rPr>
                <w:rFonts w:ascii="宋体"/>
              </w:rPr>
              <w:t>8</w:t>
            </w:r>
            <w:r>
              <w:rPr>
                <w:rFonts w:hint="eastAsia" w:ascii="宋体"/>
              </w:rPr>
              <w:t>分，每有一处不符合要求或可行性差的扣</w:t>
            </w:r>
            <w:r>
              <w:rPr>
                <w:rFonts w:ascii="宋体"/>
              </w:rPr>
              <w:t>2</w:t>
            </w:r>
            <w:r>
              <w:rPr>
                <w:rFonts w:hint="eastAsia" w:ascii="宋体"/>
              </w:rPr>
              <w:t>分，扣完为止。</w:t>
            </w:r>
          </w:p>
        </w:tc>
        <w:tc>
          <w:tcPr>
            <w:tcW w:w="926" w:type="dxa"/>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5" w:hRule="atLeast"/>
        </w:trPr>
        <w:tc>
          <w:tcPr>
            <w:tcW w:w="725" w:type="dxa"/>
            <w:vAlign w:val="center"/>
          </w:tcPr>
          <w:p>
            <w:pPr>
              <w:spacing w:line="360" w:lineRule="auto"/>
              <w:jc w:val="center"/>
              <w:rPr>
                <w:szCs w:val="21"/>
              </w:rPr>
            </w:pPr>
            <w:r>
              <w:rPr>
                <w:rFonts w:ascii="宋体"/>
                <w:szCs w:val="21"/>
              </w:rPr>
              <w:t>3</w:t>
            </w:r>
          </w:p>
        </w:tc>
        <w:tc>
          <w:tcPr>
            <w:tcW w:w="1317" w:type="dxa"/>
            <w:vAlign w:val="center"/>
          </w:tcPr>
          <w:p>
            <w:pPr>
              <w:spacing w:line="300" w:lineRule="exact"/>
              <w:jc w:val="center"/>
              <w:rPr>
                <w:rFonts w:ascii="宋体"/>
                <w:szCs w:val="21"/>
              </w:rPr>
            </w:pPr>
            <w:r>
              <w:rPr>
                <w:rFonts w:hint="eastAsia" w:ascii="宋体"/>
                <w:szCs w:val="21"/>
              </w:rPr>
              <w:t>人员配置</w:t>
            </w:r>
          </w:p>
          <w:p>
            <w:pPr>
              <w:pStyle w:val="2"/>
              <w:jc w:val="center"/>
            </w:pPr>
            <w:r>
              <w:rPr>
                <w:rFonts w:ascii="宋体"/>
                <w:szCs w:val="21"/>
              </w:rPr>
              <w:t>30</w:t>
            </w:r>
            <w:r>
              <w:rPr>
                <w:rFonts w:hint="eastAsia" w:ascii="宋体"/>
                <w:szCs w:val="21"/>
              </w:rPr>
              <w:t>%</w:t>
            </w:r>
          </w:p>
        </w:tc>
        <w:tc>
          <w:tcPr>
            <w:tcW w:w="885" w:type="dxa"/>
            <w:tcBorders>
              <w:bottom w:val="single" w:color="auto" w:sz="4" w:space="0"/>
            </w:tcBorders>
            <w:vAlign w:val="center"/>
          </w:tcPr>
          <w:p>
            <w:pPr>
              <w:spacing w:line="360" w:lineRule="auto"/>
              <w:jc w:val="center"/>
              <w:rPr>
                <w:szCs w:val="21"/>
              </w:rPr>
            </w:pPr>
            <w:r>
              <w:rPr>
                <w:rFonts w:ascii="宋体"/>
                <w:szCs w:val="21"/>
              </w:rPr>
              <w:t>30分</w:t>
            </w:r>
          </w:p>
        </w:tc>
        <w:tc>
          <w:tcPr>
            <w:tcW w:w="5794" w:type="dxa"/>
            <w:vAlign w:val="center"/>
          </w:tcPr>
          <w:p>
            <w:pPr>
              <w:pStyle w:val="2"/>
              <w:spacing w:after="0" w:line="300" w:lineRule="exact"/>
              <w:rPr>
                <w:rFonts w:ascii="宋体"/>
                <w:szCs w:val="21"/>
              </w:rPr>
            </w:pPr>
            <w:r>
              <w:rPr>
                <w:rFonts w:hint="eastAsia" w:ascii="宋体"/>
                <w:szCs w:val="21"/>
              </w:rPr>
              <w:t>1、拟派驻本项目的质量控制人自2017年以来负责过国有企业或上市公司审计项目，每有1个得5分，最多得</w:t>
            </w:r>
            <w:r>
              <w:rPr>
                <w:rFonts w:ascii="宋体"/>
                <w:szCs w:val="21"/>
              </w:rPr>
              <w:t>15</w:t>
            </w:r>
            <w:r>
              <w:rPr>
                <w:rFonts w:hint="eastAsia" w:ascii="宋体"/>
                <w:szCs w:val="21"/>
              </w:rPr>
              <w:t>分，提供相关证明材料复印件。</w:t>
            </w:r>
          </w:p>
          <w:p>
            <w:pPr>
              <w:pStyle w:val="2"/>
              <w:spacing w:after="0" w:line="300" w:lineRule="exact"/>
              <w:rPr>
                <w:rFonts w:ascii="宋体"/>
                <w:szCs w:val="21"/>
              </w:rPr>
            </w:pPr>
            <w:r>
              <w:rPr>
                <w:rFonts w:hint="eastAsia" w:ascii="宋体"/>
                <w:szCs w:val="21"/>
              </w:rPr>
              <w:t>2、拟派驻本项目的主审人员及复核人员具有国有企业或上市公司审计项目经历，每有1个得</w:t>
            </w:r>
            <w:r>
              <w:rPr>
                <w:rFonts w:ascii="宋体"/>
                <w:szCs w:val="21"/>
              </w:rPr>
              <w:t>2</w:t>
            </w:r>
            <w:r>
              <w:rPr>
                <w:rFonts w:hint="eastAsia" w:ascii="宋体"/>
                <w:szCs w:val="21"/>
              </w:rPr>
              <w:t>分，最多得</w:t>
            </w:r>
            <w:r>
              <w:rPr>
                <w:rFonts w:ascii="宋体"/>
                <w:szCs w:val="21"/>
              </w:rPr>
              <w:t>10</w:t>
            </w:r>
            <w:r>
              <w:rPr>
                <w:rFonts w:hint="eastAsia" w:ascii="宋体"/>
                <w:szCs w:val="21"/>
              </w:rPr>
              <w:t>分，提供相关证明材料复印件。</w:t>
            </w:r>
          </w:p>
          <w:p>
            <w:pPr>
              <w:pStyle w:val="2"/>
              <w:spacing w:after="0" w:line="300" w:lineRule="exact"/>
            </w:pPr>
            <w:r>
              <w:rPr>
                <w:rFonts w:hint="eastAsia" w:ascii="宋体"/>
                <w:szCs w:val="21"/>
              </w:rPr>
              <w:t>3、拟派驻本项目的人员中，有1名注册会计师得</w:t>
            </w:r>
            <w:r>
              <w:rPr>
                <w:rFonts w:ascii="宋体"/>
                <w:szCs w:val="21"/>
              </w:rPr>
              <w:t>1.5</w:t>
            </w:r>
            <w:r>
              <w:rPr>
                <w:rFonts w:hint="eastAsia" w:ascii="宋体"/>
                <w:szCs w:val="21"/>
              </w:rPr>
              <w:t>分，有2名注册会计师得</w:t>
            </w:r>
            <w:r>
              <w:rPr>
                <w:rFonts w:ascii="宋体"/>
                <w:szCs w:val="21"/>
              </w:rPr>
              <w:t>3</w:t>
            </w:r>
            <w:r>
              <w:rPr>
                <w:rFonts w:hint="eastAsia" w:ascii="宋体"/>
                <w:szCs w:val="21"/>
              </w:rPr>
              <w:t>分；超过2名的，每增加1名加1分，最多加</w:t>
            </w:r>
            <w:r>
              <w:rPr>
                <w:rFonts w:ascii="宋体"/>
                <w:szCs w:val="21"/>
              </w:rPr>
              <w:t>2</w:t>
            </w:r>
            <w:r>
              <w:rPr>
                <w:rFonts w:hint="eastAsia" w:ascii="宋体"/>
                <w:szCs w:val="21"/>
              </w:rPr>
              <w:t>分，本项最多得</w:t>
            </w:r>
            <w:r>
              <w:rPr>
                <w:rFonts w:ascii="宋体"/>
                <w:szCs w:val="21"/>
              </w:rPr>
              <w:t>5</w:t>
            </w:r>
            <w:r>
              <w:rPr>
                <w:rFonts w:hint="eastAsia" w:ascii="宋体"/>
                <w:szCs w:val="21"/>
              </w:rPr>
              <w:t>分。</w:t>
            </w:r>
          </w:p>
        </w:tc>
        <w:tc>
          <w:tcPr>
            <w:tcW w:w="926" w:type="dxa"/>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7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ascii="宋体"/>
                <w:szCs w:val="21"/>
              </w:rPr>
              <w:t>4</w:t>
            </w:r>
          </w:p>
        </w:tc>
        <w:tc>
          <w:tcPr>
            <w:tcW w:w="13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Cs w:val="21"/>
              </w:rPr>
            </w:pPr>
            <w:r>
              <w:rPr>
                <w:rFonts w:hint="eastAsia" w:ascii="宋体"/>
                <w:szCs w:val="21"/>
              </w:rPr>
              <w:t>企业实力</w:t>
            </w:r>
          </w:p>
          <w:p>
            <w:pPr>
              <w:pStyle w:val="2"/>
              <w:jc w:val="center"/>
            </w:pPr>
            <w:r>
              <w:rPr>
                <w:rFonts w:ascii="宋体"/>
                <w:szCs w:val="21"/>
              </w:rPr>
              <w:t>10</w:t>
            </w:r>
            <w:r>
              <w:rPr>
                <w:rFonts w:hint="eastAsia" w:ascii="宋体"/>
                <w:szCs w:val="21"/>
              </w:rPr>
              <w:t>%</w:t>
            </w:r>
          </w:p>
        </w:tc>
        <w:tc>
          <w:tcPr>
            <w:tcW w:w="8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ascii="宋体"/>
                <w:szCs w:val="21"/>
              </w:rPr>
              <w:t>10</w:t>
            </w:r>
            <w:r>
              <w:rPr>
                <w:rFonts w:hint="eastAsia" w:ascii="宋体"/>
                <w:szCs w:val="21"/>
              </w:rPr>
              <w:t>分</w:t>
            </w:r>
          </w:p>
        </w:tc>
        <w:tc>
          <w:tcPr>
            <w:tcW w:w="579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szCs w:val="21"/>
              </w:rPr>
            </w:pPr>
            <w:r>
              <w:rPr>
                <w:rFonts w:hint="eastAsia" w:ascii="宋体" w:cs="Arial"/>
                <w:szCs w:val="21"/>
              </w:rPr>
              <w:t>1.</w:t>
            </w:r>
            <w:r>
              <w:rPr>
                <w:rFonts w:ascii="宋体" w:cs="Arial"/>
                <w:szCs w:val="21"/>
              </w:rPr>
              <w:t>证券</w:t>
            </w:r>
            <w:r>
              <w:rPr>
                <w:rFonts w:hint="eastAsia" w:ascii="宋体" w:cs="Arial"/>
                <w:szCs w:val="21"/>
              </w:rPr>
              <w:t>期货</w:t>
            </w:r>
            <w:r>
              <w:rPr>
                <w:rFonts w:ascii="宋体" w:cs="Arial"/>
                <w:szCs w:val="21"/>
              </w:rPr>
              <w:t>资质</w:t>
            </w:r>
            <w:r>
              <w:rPr>
                <w:rFonts w:hint="eastAsia" w:ascii="宋体" w:cs="Arial"/>
                <w:szCs w:val="21"/>
              </w:rPr>
              <w:t>：具有资质</w:t>
            </w:r>
            <w:r>
              <w:rPr>
                <w:rFonts w:ascii="宋体" w:cs="Arial"/>
                <w:szCs w:val="21"/>
              </w:rPr>
              <w:t>的会计师事务所</w:t>
            </w:r>
            <w:r>
              <w:rPr>
                <w:rFonts w:hint="eastAsia" w:ascii="宋体" w:cs="Arial"/>
                <w:szCs w:val="21"/>
              </w:rPr>
              <w:t>得5分</w:t>
            </w:r>
            <w:r>
              <w:rPr>
                <w:rFonts w:ascii="宋体" w:cs="Arial"/>
                <w:szCs w:val="21"/>
              </w:rPr>
              <w:t>。</w:t>
            </w:r>
          </w:p>
          <w:p>
            <w:pPr>
              <w:widowControl/>
              <w:jc w:val="left"/>
            </w:pPr>
            <w:r>
              <w:rPr>
                <w:rFonts w:ascii="宋体" w:cs="Arial"/>
                <w:szCs w:val="21"/>
              </w:rPr>
              <w:t>2.</w:t>
            </w:r>
            <w:r>
              <w:rPr>
                <w:rFonts w:hint="eastAsia" w:ascii="宋体" w:cs="Arial"/>
                <w:szCs w:val="21"/>
              </w:rPr>
              <w:t>四川</w:t>
            </w:r>
            <w:r>
              <w:rPr>
                <w:rFonts w:hint="eastAsia" w:ascii="宋体" w:cs="宋体"/>
                <w:kern w:val="0"/>
                <w:szCs w:val="21"/>
              </w:rPr>
              <w:t>注册会计师协会</w:t>
            </w:r>
            <w:r>
              <w:rPr>
                <w:rFonts w:hint="eastAsia" w:ascii="宋体"/>
                <w:szCs w:val="21"/>
              </w:rPr>
              <w:t>综合评价排名：201</w:t>
            </w:r>
            <w:r>
              <w:rPr>
                <w:rFonts w:ascii="宋体"/>
                <w:szCs w:val="21"/>
              </w:rPr>
              <w:t>5</w:t>
            </w:r>
            <w:r>
              <w:rPr>
                <w:rFonts w:hint="eastAsia" w:ascii="宋体"/>
                <w:szCs w:val="21"/>
              </w:rPr>
              <w:t>-2019年在四川注册会计师协会公布的综合评价中，每有一年综合评价排名在前20名内的得</w:t>
            </w:r>
            <w:r>
              <w:rPr>
                <w:rFonts w:ascii="宋体"/>
                <w:szCs w:val="21"/>
              </w:rPr>
              <w:t>1</w:t>
            </w:r>
            <w:r>
              <w:rPr>
                <w:rFonts w:hint="eastAsia" w:ascii="宋体"/>
                <w:szCs w:val="21"/>
              </w:rPr>
              <w:t>分，最多得</w:t>
            </w:r>
            <w:r>
              <w:rPr>
                <w:rFonts w:ascii="宋体"/>
                <w:szCs w:val="21"/>
              </w:rPr>
              <w:t>5</w:t>
            </w:r>
            <w:r>
              <w:rPr>
                <w:rFonts w:hint="eastAsia" w:ascii="宋体"/>
                <w:szCs w:val="21"/>
              </w:rPr>
              <w:t>分。</w:t>
            </w:r>
          </w:p>
        </w:tc>
        <w:tc>
          <w:tcPr>
            <w:tcW w:w="926"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r>
    </w:tbl>
    <w:p>
      <w:pPr>
        <w:pStyle w:val="4"/>
        <w:keepNext w:val="0"/>
        <w:keepLines w:val="0"/>
        <w:spacing w:before="0" w:after="0" w:line="560" w:lineRule="exact"/>
        <w:rPr>
          <w:sz w:val="24"/>
          <w:szCs w:val="24"/>
        </w:rPr>
      </w:pPr>
    </w:p>
    <w:p>
      <w:pPr>
        <w:pStyle w:val="4"/>
        <w:keepNext w:val="0"/>
        <w:keepLines w:val="0"/>
        <w:spacing w:before="0" w:after="0" w:line="560" w:lineRule="exact"/>
        <w:ind w:firstLine="482" w:firstLineChars="200"/>
        <w:rPr>
          <w:b w:val="0"/>
        </w:rPr>
      </w:pPr>
      <w:r>
        <w:rPr>
          <w:rFonts w:hint="eastAsia"/>
          <w:sz w:val="24"/>
          <w:szCs w:val="24"/>
        </w:rPr>
        <w:t>9</w:t>
      </w:r>
      <w:r>
        <w:rPr>
          <w:sz w:val="24"/>
          <w:szCs w:val="24"/>
        </w:rPr>
        <w:t>、本比选项目评审结果的确定</w:t>
      </w:r>
    </w:p>
    <w:p>
      <w:pPr>
        <w:spacing w:line="560" w:lineRule="exact"/>
        <w:ind w:firstLine="480" w:firstLineChars="200"/>
        <w:rPr>
          <w:sz w:val="24"/>
        </w:rPr>
      </w:pPr>
      <w:r>
        <w:rPr>
          <w:sz w:val="24"/>
        </w:rPr>
        <w:t>根据评审小组的评审结果，按综合得分由高到低的顺序推荐前三中选候选人</w:t>
      </w:r>
      <w:r>
        <w:rPr>
          <w:rFonts w:hint="eastAsia"/>
          <w:sz w:val="24"/>
        </w:rPr>
        <w:t>，由比选人最终确定中选人</w:t>
      </w:r>
      <w:r>
        <w:rPr>
          <w:sz w:val="24"/>
        </w:rPr>
        <w:t>。</w:t>
      </w:r>
    </w:p>
    <w:p>
      <w:pPr>
        <w:pStyle w:val="4"/>
        <w:keepNext w:val="0"/>
        <w:keepLines w:val="0"/>
        <w:spacing w:before="0" w:after="0" w:line="560" w:lineRule="exact"/>
        <w:rPr>
          <w:sz w:val="24"/>
          <w:szCs w:val="24"/>
        </w:rPr>
      </w:pPr>
      <w:r>
        <w:rPr>
          <w:rFonts w:hint="eastAsia"/>
          <w:sz w:val="24"/>
          <w:szCs w:val="24"/>
        </w:rPr>
        <w:t>10</w:t>
      </w:r>
      <w:r>
        <w:rPr>
          <w:sz w:val="24"/>
          <w:szCs w:val="24"/>
        </w:rPr>
        <w:t>、合同协议书的签订</w:t>
      </w:r>
    </w:p>
    <w:p>
      <w:pPr>
        <w:spacing w:line="560" w:lineRule="exact"/>
        <w:ind w:firstLine="480"/>
        <w:rPr>
          <w:sz w:val="24"/>
          <w:szCs w:val="21"/>
        </w:rPr>
      </w:pPr>
      <w:r>
        <w:rPr>
          <w:sz w:val="24"/>
        </w:rPr>
        <w:t>中选人应当自中选通知书发出之日起5日内与</w:t>
      </w:r>
      <w:bookmarkStart w:id="1" w:name="_Toc16490"/>
      <w:r>
        <w:rPr>
          <w:rFonts w:hint="eastAsia"/>
          <w:sz w:val="24"/>
          <w:szCs w:val="21"/>
        </w:rPr>
        <w:t>西南医疗健康产业投资</w:t>
      </w:r>
      <w:r>
        <w:rPr>
          <w:sz w:val="24"/>
          <w:szCs w:val="21"/>
        </w:rPr>
        <w:t>集团有限公司签订合同。</w:t>
      </w:r>
    </w:p>
    <w:p>
      <w:pPr>
        <w:spacing w:line="560" w:lineRule="exact"/>
        <w:ind w:firstLine="480"/>
        <w:rPr>
          <w:sz w:val="24"/>
        </w:rPr>
      </w:pPr>
    </w:p>
    <w:bookmarkEnd w:id="1"/>
    <w:p>
      <w:pPr>
        <w:numPr>
          <w:ilvl w:val="0"/>
          <w:numId w:val="0"/>
        </w:numPr>
        <w:tabs>
          <w:tab w:val="left" w:pos="0"/>
        </w:tabs>
        <w:spacing w:line="560" w:lineRule="exact"/>
        <w:ind w:leftChars="0"/>
        <w:jc w:val="both"/>
        <w:rPr>
          <w:rFonts w:hint="eastAsia"/>
          <w:b/>
          <w:sz w:val="36"/>
          <w:szCs w:val="36"/>
          <w:lang w:eastAsia="zh-CN"/>
        </w:rPr>
      </w:pPr>
    </w:p>
    <w:p>
      <w:pPr>
        <w:numPr>
          <w:ilvl w:val="0"/>
          <w:numId w:val="0"/>
        </w:numPr>
        <w:tabs>
          <w:tab w:val="left" w:pos="0"/>
        </w:tabs>
        <w:spacing w:line="560" w:lineRule="exact"/>
        <w:ind w:leftChars="0"/>
        <w:jc w:val="both"/>
        <w:rPr>
          <w:rFonts w:hint="eastAsia"/>
          <w:b/>
          <w:sz w:val="36"/>
          <w:szCs w:val="36"/>
          <w:lang w:eastAsia="zh-CN"/>
        </w:rPr>
      </w:pPr>
    </w:p>
    <w:p>
      <w:pPr>
        <w:numPr>
          <w:ilvl w:val="0"/>
          <w:numId w:val="0"/>
        </w:numPr>
        <w:tabs>
          <w:tab w:val="left" w:pos="0"/>
        </w:tabs>
        <w:spacing w:line="560" w:lineRule="exact"/>
        <w:ind w:leftChars="0"/>
        <w:jc w:val="both"/>
        <w:rPr>
          <w:rFonts w:hint="eastAsia"/>
          <w:b/>
          <w:sz w:val="36"/>
          <w:szCs w:val="36"/>
          <w:lang w:eastAsia="zh-CN"/>
        </w:rPr>
      </w:pPr>
    </w:p>
    <w:p>
      <w:pPr>
        <w:numPr>
          <w:ilvl w:val="0"/>
          <w:numId w:val="0"/>
        </w:numPr>
        <w:tabs>
          <w:tab w:val="left" w:pos="0"/>
        </w:tabs>
        <w:spacing w:line="560" w:lineRule="exact"/>
        <w:ind w:leftChars="0"/>
        <w:jc w:val="both"/>
        <w:rPr>
          <w:rFonts w:hint="eastAsia"/>
          <w:b/>
          <w:sz w:val="36"/>
          <w:szCs w:val="36"/>
          <w:lang w:eastAsia="zh-CN"/>
        </w:rPr>
      </w:pPr>
    </w:p>
    <w:p>
      <w:pPr>
        <w:numPr>
          <w:ilvl w:val="0"/>
          <w:numId w:val="0"/>
        </w:numPr>
        <w:tabs>
          <w:tab w:val="left" w:pos="0"/>
        </w:tabs>
        <w:spacing w:line="560" w:lineRule="exact"/>
        <w:ind w:leftChars="0"/>
        <w:jc w:val="both"/>
        <w:rPr>
          <w:rFonts w:hint="eastAsia"/>
          <w:b/>
          <w:sz w:val="36"/>
          <w:szCs w:val="36"/>
          <w:lang w:eastAsia="zh-CN"/>
        </w:rPr>
      </w:pPr>
    </w:p>
    <w:p>
      <w:pPr>
        <w:numPr>
          <w:ilvl w:val="0"/>
          <w:numId w:val="0"/>
        </w:numPr>
        <w:tabs>
          <w:tab w:val="left" w:pos="0"/>
        </w:tabs>
        <w:spacing w:line="560" w:lineRule="exact"/>
        <w:ind w:leftChars="0"/>
        <w:jc w:val="both"/>
        <w:rPr>
          <w:rFonts w:hint="eastAsia"/>
          <w:b/>
          <w:sz w:val="36"/>
          <w:szCs w:val="36"/>
          <w:lang w:eastAsia="zh-CN"/>
        </w:rPr>
      </w:pPr>
    </w:p>
    <w:p>
      <w:pPr>
        <w:numPr>
          <w:ilvl w:val="0"/>
          <w:numId w:val="0"/>
        </w:numPr>
        <w:tabs>
          <w:tab w:val="left" w:pos="0"/>
        </w:tabs>
        <w:spacing w:line="560" w:lineRule="exact"/>
        <w:ind w:leftChars="0"/>
        <w:jc w:val="both"/>
        <w:rPr>
          <w:rFonts w:hint="eastAsia"/>
          <w:b/>
          <w:sz w:val="36"/>
          <w:szCs w:val="36"/>
          <w:lang w:eastAsia="zh-CN"/>
        </w:rPr>
      </w:pPr>
    </w:p>
    <w:p>
      <w:pPr>
        <w:numPr>
          <w:ilvl w:val="0"/>
          <w:numId w:val="0"/>
        </w:numPr>
        <w:tabs>
          <w:tab w:val="left" w:pos="0"/>
        </w:tabs>
        <w:spacing w:line="560" w:lineRule="exact"/>
        <w:ind w:leftChars="0"/>
        <w:jc w:val="both"/>
        <w:rPr>
          <w:rFonts w:hint="eastAsia"/>
          <w:b/>
          <w:sz w:val="36"/>
          <w:szCs w:val="36"/>
          <w:lang w:eastAsia="zh-CN"/>
        </w:rPr>
      </w:pPr>
    </w:p>
    <w:p>
      <w:pPr>
        <w:numPr>
          <w:ilvl w:val="0"/>
          <w:numId w:val="0"/>
        </w:numPr>
        <w:tabs>
          <w:tab w:val="left" w:pos="0"/>
        </w:tabs>
        <w:spacing w:line="560" w:lineRule="exact"/>
        <w:ind w:leftChars="0"/>
        <w:jc w:val="both"/>
        <w:rPr>
          <w:rFonts w:hint="eastAsia"/>
          <w:b/>
          <w:sz w:val="36"/>
          <w:szCs w:val="36"/>
          <w:lang w:eastAsia="zh-CN"/>
        </w:rPr>
      </w:pPr>
    </w:p>
    <w:p>
      <w:pPr>
        <w:numPr>
          <w:ilvl w:val="0"/>
          <w:numId w:val="0"/>
        </w:numPr>
        <w:tabs>
          <w:tab w:val="left" w:pos="0"/>
        </w:tabs>
        <w:spacing w:line="560" w:lineRule="exact"/>
        <w:ind w:leftChars="0"/>
        <w:jc w:val="both"/>
        <w:rPr>
          <w:rFonts w:hint="eastAsia"/>
          <w:b/>
          <w:sz w:val="36"/>
          <w:szCs w:val="36"/>
          <w:lang w:eastAsia="zh-CN"/>
        </w:rPr>
      </w:pPr>
    </w:p>
    <w:p>
      <w:pPr>
        <w:numPr>
          <w:ilvl w:val="0"/>
          <w:numId w:val="0"/>
        </w:numPr>
        <w:tabs>
          <w:tab w:val="left" w:pos="0"/>
        </w:tabs>
        <w:spacing w:line="560" w:lineRule="exact"/>
        <w:ind w:leftChars="0"/>
        <w:jc w:val="both"/>
        <w:rPr>
          <w:rFonts w:hint="eastAsia"/>
          <w:b/>
          <w:sz w:val="36"/>
          <w:szCs w:val="36"/>
          <w:lang w:eastAsia="zh-CN"/>
        </w:rPr>
      </w:pPr>
    </w:p>
    <w:p>
      <w:pPr>
        <w:numPr>
          <w:ilvl w:val="0"/>
          <w:numId w:val="0"/>
        </w:numPr>
        <w:tabs>
          <w:tab w:val="left" w:pos="0"/>
        </w:tabs>
        <w:spacing w:line="560" w:lineRule="exact"/>
        <w:ind w:leftChars="0"/>
        <w:jc w:val="both"/>
        <w:rPr>
          <w:rFonts w:hint="eastAsia"/>
          <w:b/>
          <w:sz w:val="36"/>
          <w:szCs w:val="36"/>
          <w:lang w:eastAsia="zh-CN"/>
        </w:rPr>
      </w:pPr>
    </w:p>
    <w:p>
      <w:pPr>
        <w:numPr>
          <w:ilvl w:val="0"/>
          <w:numId w:val="0"/>
        </w:numPr>
        <w:tabs>
          <w:tab w:val="left" w:pos="0"/>
        </w:tabs>
        <w:spacing w:line="560" w:lineRule="exact"/>
        <w:ind w:leftChars="0"/>
        <w:jc w:val="both"/>
        <w:rPr>
          <w:rFonts w:hint="eastAsia"/>
          <w:b/>
          <w:sz w:val="36"/>
          <w:szCs w:val="36"/>
          <w:lang w:eastAsia="zh-CN"/>
        </w:rPr>
      </w:pPr>
    </w:p>
    <w:p>
      <w:pPr>
        <w:numPr>
          <w:ilvl w:val="0"/>
          <w:numId w:val="0"/>
        </w:numPr>
        <w:tabs>
          <w:tab w:val="left" w:pos="0"/>
        </w:tabs>
        <w:spacing w:line="560" w:lineRule="exact"/>
        <w:ind w:leftChars="0"/>
        <w:jc w:val="both"/>
        <w:rPr>
          <w:rFonts w:hint="eastAsia"/>
          <w:b/>
          <w:sz w:val="36"/>
          <w:szCs w:val="36"/>
          <w:lang w:eastAsia="zh-CN"/>
        </w:rPr>
      </w:pPr>
    </w:p>
    <w:p>
      <w:pPr>
        <w:numPr>
          <w:ilvl w:val="0"/>
          <w:numId w:val="0"/>
        </w:numPr>
        <w:tabs>
          <w:tab w:val="left" w:pos="0"/>
        </w:tabs>
        <w:spacing w:line="560" w:lineRule="exact"/>
        <w:ind w:leftChars="0"/>
        <w:jc w:val="both"/>
        <w:rPr>
          <w:rFonts w:hint="eastAsia"/>
          <w:b/>
          <w:sz w:val="36"/>
          <w:szCs w:val="36"/>
          <w:lang w:eastAsia="zh-CN"/>
        </w:rPr>
      </w:pPr>
    </w:p>
    <w:p>
      <w:pPr>
        <w:numPr>
          <w:ilvl w:val="0"/>
          <w:numId w:val="0"/>
        </w:numPr>
        <w:tabs>
          <w:tab w:val="left" w:pos="0"/>
        </w:tabs>
        <w:spacing w:line="560" w:lineRule="exact"/>
        <w:ind w:leftChars="0"/>
        <w:jc w:val="both"/>
        <w:rPr>
          <w:rFonts w:hint="eastAsia"/>
          <w:b/>
          <w:sz w:val="36"/>
          <w:szCs w:val="36"/>
          <w:lang w:eastAsia="zh-CN"/>
        </w:rPr>
      </w:pPr>
    </w:p>
    <w:p>
      <w:pPr>
        <w:numPr>
          <w:ilvl w:val="0"/>
          <w:numId w:val="0"/>
        </w:numPr>
        <w:tabs>
          <w:tab w:val="left" w:pos="0"/>
        </w:tabs>
        <w:spacing w:line="560" w:lineRule="exact"/>
        <w:ind w:leftChars="0"/>
        <w:jc w:val="both"/>
        <w:rPr>
          <w:rFonts w:hint="eastAsia"/>
          <w:b/>
          <w:sz w:val="36"/>
          <w:szCs w:val="36"/>
          <w:lang w:eastAsia="zh-CN"/>
        </w:rPr>
      </w:pPr>
    </w:p>
    <w:p>
      <w:pPr>
        <w:numPr>
          <w:ilvl w:val="0"/>
          <w:numId w:val="0"/>
        </w:numPr>
        <w:tabs>
          <w:tab w:val="left" w:pos="0"/>
        </w:tabs>
        <w:spacing w:line="560" w:lineRule="exact"/>
        <w:ind w:leftChars="0"/>
        <w:jc w:val="both"/>
        <w:rPr>
          <w:rFonts w:hint="eastAsia"/>
          <w:b/>
          <w:sz w:val="36"/>
          <w:szCs w:val="36"/>
          <w:lang w:eastAsia="zh-CN"/>
        </w:rPr>
      </w:pPr>
    </w:p>
    <w:p>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C31416"/>
    <w:rsid w:val="560E3FBC"/>
    <w:rsid w:val="5CDF51D9"/>
    <w:rsid w:val="7F763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spacing w:before="280" w:after="290" w:line="377" w:lineRule="auto"/>
      <w:outlineLvl w:val="3"/>
    </w:pPr>
    <w:rPr>
      <w:rFonts w:ascii="Arial" w:hAnsi="Arial" w:eastAsia="黑体"/>
      <w:b/>
      <w:bCs/>
      <w:sz w:val="28"/>
      <w:szCs w:val="28"/>
    </w:rPr>
  </w:style>
  <w:style w:type="paragraph" w:styleId="4">
    <w:name w:val="heading 5"/>
    <w:basedOn w:val="1"/>
    <w:next w:val="1"/>
    <w:qFormat/>
    <w:uiPriority w:val="0"/>
    <w:pPr>
      <w:keepNext/>
      <w:keepLines/>
      <w:spacing w:before="280" w:after="290" w:line="377" w:lineRule="auto"/>
      <w:outlineLvl w:val="4"/>
    </w:pPr>
    <w:rPr>
      <w:b/>
      <w:bCs/>
      <w:sz w:val="28"/>
      <w:szCs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Date"/>
    <w:basedOn w:val="1"/>
    <w:next w:val="1"/>
    <w:qFormat/>
    <w:uiPriority w:val="0"/>
    <w:pPr>
      <w:ind w:left="2500" w:leftChars="2500"/>
    </w:pPr>
  </w:style>
  <w:style w:type="paragraph" w:customStyle="1" w:styleId="8">
    <w:name w:val="列出段落1"/>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2020-12-18T06:43:04Z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