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0"/>
        </w:tabs>
        <w:spacing w:line="560" w:lineRule="exact"/>
        <w:ind w:leftChars="0"/>
        <w:jc w:val="both"/>
        <w:rPr>
          <w:b/>
          <w:sz w:val="36"/>
          <w:szCs w:val="36"/>
        </w:rPr>
      </w:pPr>
      <w:r>
        <w:rPr>
          <w:rFonts w:hint="eastAsia"/>
          <w:b/>
          <w:sz w:val="36"/>
          <w:szCs w:val="36"/>
          <w:lang w:eastAsia="zh-CN"/>
        </w:rPr>
        <w:t>附件</w:t>
      </w:r>
      <w:r>
        <w:rPr>
          <w:rFonts w:hint="eastAsia"/>
          <w:b/>
          <w:sz w:val="36"/>
          <w:szCs w:val="36"/>
          <w:lang w:val="en-US" w:eastAsia="zh-CN"/>
        </w:rPr>
        <w:t>2：</w:t>
      </w:r>
      <w:r>
        <w:rPr>
          <w:b/>
          <w:sz w:val="36"/>
          <w:szCs w:val="36"/>
        </w:rPr>
        <w:t>服务要求及商务要求</w:t>
      </w:r>
    </w:p>
    <w:p>
      <w:pPr>
        <w:numPr>
          <w:ilvl w:val="0"/>
          <w:numId w:val="1"/>
        </w:numPr>
        <w:spacing w:beforeLines="100" w:line="360" w:lineRule="auto"/>
        <w:outlineLvl w:val="1"/>
        <w:rPr>
          <w:b/>
          <w:bCs/>
          <w:sz w:val="30"/>
          <w:szCs w:val="30"/>
        </w:rPr>
      </w:pPr>
      <w:bookmarkStart w:id="0" w:name="_Toc496621344"/>
      <w:bookmarkStart w:id="1" w:name="_Toc217446094"/>
      <w:bookmarkStart w:id="2" w:name="_Toc15703"/>
      <w:bookmarkStart w:id="3" w:name="_Toc12571"/>
      <w:bookmarkStart w:id="4" w:name="_Toc25510"/>
      <w:bookmarkStart w:id="5" w:name="_Toc18191"/>
      <w:r>
        <w:rPr>
          <w:b/>
          <w:bCs/>
          <w:sz w:val="30"/>
          <w:szCs w:val="30"/>
        </w:rPr>
        <w:t>项目</w:t>
      </w:r>
      <w:bookmarkEnd w:id="0"/>
      <w:bookmarkEnd w:id="1"/>
      <w:r>
        <w:rPr>
          <w:b/>
          <w:bCs/>
          <w:sz w:val="30"/>
          <w:szCs w:val="30"/>
        </w:rPr>
        <w:t>服务内容</w:t>
      </w:r>
      <w:bookmarkEnd w:id="2"/>
      <w:bookmarkEnd w:id="3"/>
      <w:bookmarkEnd w:id="4"/>
    </w:p>
    <w:p>
      <w:pPr>
        <w:spacing w:line="360" w:lineRule="auto"/>
        <w:ind w:firstLine="480" w:firstLineChars="200"/>
        <w:rPr>
          <w:rFonts w:ascii="宋体" w:cs="宋体"/>
          <w:sz w:val="24"/>
        </w:rPr>
      </w:pPr>
      <w:r>
        <w:rPr>
          <w:rFonts w:hint="eastAsia" w:ascii="宋体" w:cs="宋体"/>
          <w:sz w:val="24"/>
        </w:rPr>
        <w:t>审计机构对纳入本次审计的22家企业（名单附后）提供2020年报审计。</w:t>
      </w:r>
    </w:p>
    <w:tbl>
      <w:tblPr>
        <w:tblStyle w:val="3"/>
        <w:tblW w:w="8319" w:type="dxa"/>
        <w:tblInd w:w="0" w:type="dxa"/>
        <w:tblLayout w:type="fixed"/>
        <w:tblCellMar>
          <w:top w:w="0" w:type="dxa"/>
          <w:left w:w="0" w:type="dxa"/>
          <w:bottom w:w="0" w:type="dxa"/>
          <w:right w:w="0" w:type="dxa"/>
        </w:tblCellMar>
      </w:tblPr>
      <w:tblGrid>
        <w:gridCol w:w="865"/>
        <w:gridCol w:w="2554"/>
        <w:gridCol w:w="1093"/>
        <w:gridCol w:w="1980"/>
        <w:gridCol w:w="1827"/>
      </w:tblGrid>
      <w:tr>
        <w:tblPrEx>
          <w:tblCellMar>
            <w:top w:w="0" w:type="dxa"/>
            <w:left w:w="0" w:type="dxa"/>
            <w:bottom w:w="0" w:type="dxa"/>
            <w:right w:w="0" w:type="dxa"/>
          </w:tblCellMar>
        </w:tblPrEx>
        <w:trPr>
          <w:trHeight w:val="1170" w:hRule="atLeast"/>
        </w:trPr>
        <w:tc>
          <w:tcPr>
            <w:tcW w:w="8319"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44"/>
                <w:szCs w:val="44"/>
              </w:rPr>
            </w:pPr>
            <w:r>
              <w:rPr>
                <w:rFonts w:hint="eastAsia" w:ascii="宋体" w:cs="宋体"/>
                <w:color w:val="000000"/>
                <w:kern w:val="0"/>
                <w:sz w:val="44"/>
                <w:szCs w:val="44"/>
              </w:rPr>
              <w:t>西南医投集团审计企业统计表</w:t>
            </w:r>
          </w:p>
        </w:tc>
      </w:tr>
      <w:tr>
        <w:tblPrEx>
          <w:tblCellMar>
            <w:top w:w="0" w:type="dxa"/>
            <w:left w:w="0" w:type="dxa"/>
            <w:bottom w:w="0" w:type="dxa"/>
            <w:right w:w="0" w:type="dxa"/>
          </w:tblCellMar>
        </w:tblPrEx>
        <w:trPr>
          <w:trHeight w:val="55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序号</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会计主体</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公司类型</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资产总额（元）</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营业收入（元)</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西南医疗健康产业投资集团有限公司（合并)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4,561,867,926.91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442,579,364.25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西南医疗健康产业投资集团有限公司（本部）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3,636,639,690.62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6,423,622.62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泸州医疗投资管理有限公司（合并)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125,493,598.33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6,469,636.51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泸州医疗投资管理有限公司（本部)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56,818,861.80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泸州口腔医疗投资管理有限公司（合并）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8,964,467.89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1,323,167.30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1.2.2.1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泸州口腔医疗投资管理有限公司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12,669,520.91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58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1.2.2.2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泸州口腔医疗投资管理有限公司合江连锁门诊部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分公司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7,183,794.50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1,323,167.30 </w:t>
            </w:r>
          </w:p>
        </w:tc>
      </w:tr>
      <w:tr>
        <w:tblPrEx>
          <w:tblCellMar>
            <w:top w:w="0" w:type="dxa"/>
            <w:left w:w="0" w:type="dxa"/>
            <w:bottom w:w="0" w:type="dxa"/>
            <w:right w:w="0" w:type="dxa"/>
          </w:tblCellMar>
        </w:tblPrEx>
        <w:trPr>
          <w:trHeight w:val="55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1.2.2.3</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泸州口腔医疗投资管理有限公司纳溪连锁门诊部（新增）</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分公司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1,363,282.26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1.2.3</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泸州恒康华大生物科技有限公司（新增）</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850,096.76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904,348.08 </w:t>
            </w:r>
          </w:p>
        </w:tc>
      </w:tr>
      <w:tr>
        <w:tblPrEx>
          <w:tblCellMar>
            <w:top w:w="0" w:type="dxa"/>
            <w:left w:w="0" w:type="dxa"/>
            <w:bottom w:w="0" w:type="dxa"/>
            <w:right w:w="0" w:type="dxa"/>
          </w:tblCellMar>
        </w:tblPrEx>
        <w:trPr>
          <w:trHeight w:val="6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1.2.4</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西南医投集团（泸州）健康体检中心有限公司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 xml:space="preserve">子公司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73,236,166.29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4,242,121.13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1.3</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泸州医学教育投资管理有限公司（合并）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175,240,324.73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174,259.33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1.3.1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泸州医学教育投资管理有限公司（本部）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60,658,881.56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1.3.2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泸州方源企业管理有限公司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164,845,739.32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1.3.3</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西南医投集团（泸州）卫生健康职业培训学校有限公司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10,383,940.05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174,259.33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泸州医养投资管理有限公司（合并）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830,052,130.15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1,267,454.00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泸州医养投资管理有限公司（本部）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829,343,454.57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183,960.00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泸州春江养老服务有限公司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934,927.40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1.4.3</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泸州康乐佳园养老服务有限公司（合并）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4,981,354.68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1,083,494.00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1.4.3.1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泸州康乐佳园养老服务有限公司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3,387,759.75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1.4.3.2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泸州市江阳区康乐佳园养老服务中心</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民办非企业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1,593,594.93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1,083,494.00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1.5</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泸州智慧医疗信息科技有限公司(合并）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20,460,493.22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4,783,120.17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1.5.1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泸州智慧医疗信息科技有限公司（本部）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14,829,050.98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1.5.2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泸州智慧互联网医学科技有限公司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8,268,839.72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4,783,120.17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1.6</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泸州医药投资管理有限公司（合并）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608,495,598.94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417,695,624.80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1.6.1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泸州医药投资管理有限公司（本部）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216,656,201.84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0.00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1.7</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泸州市医药有限公司（合并）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合并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243,228,538.84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280,539,697.67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1.7.1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泸州市医药有限公司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母公司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243,228,538.84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280,539,697.67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1.7.1.1</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叙永县医药有限公司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32,105,687.82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37,857,173.14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1.7.1.2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古蔺县医药有限公司（新增）</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43,378,227.40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33,687,152.39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1.7.2</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四川天植中药股份有限公司（含子</w:t>
            </w:r>
            <w:r>
              <w:rPr>
                <w:rFonts w:ascii="宋体" w:cs="宋体"/>
                <w:color w:val="000000"/>
                <w:kern w:val="0"/>
                <w:sz w:val="18"/>
                <w:szCs w:val="18"/>
              </w:rPr>
              <w:t>公司</w:t>
            </w:r>
            <w:r>
              <w:rPr>
                <w:rFonts w:hint="eastAsia" w:ascii="宋体" w:cs="宋体"/>
                <w:color w:val="000000"/>
                <w:kern w:val="0"/>
                <w:sz w:val="18"/>
                <w:szCs w:val="18"/>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237,826,724.09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150,669,449.03 </w:t>
            </w:r>
          </w:p>
        </w:tc>
      </w:tr>
      <w:tr>
        <w:tblPrEx>
          <w:tblCellMar>
            <w:top w:w="0" w:type="dxa"/>
            <w:left w:w="0" w:type="dxa"/>
            <w:bottom w:w="0" w:type="dxa"/>
            <w:right w:w="0" w:type="dxa"/>
          </w:tblCellMar>
        </w:tblPrEx>
        <w:trPr>
          <w:trHeight w:val="42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cs="宋体"/>
                <w:b/>
                <w:color w:val="000000"/>
                <w:sz w:val="20"/>
                <w:szCs w:val="20"/>
              </w:rPr>
            </w:pPr>
            <w:r>
              <w:rPr>
                <w:rFonts w:hint="eastAsia" w:ascii="宋体" w:cs="宋体"/>
                <w:b/>
                <w:color w:val="000000"/>
                <w:kern w:val="0"/>
                <w:sz w:val="20"/>
                <w:szCs w:val="20"/>
              </w:rPr>
              <w:t>1.8</w:t>
            </w:r>
          </w:p>
        </w:tc>
        <w:tc>
          <w:tcPr>
            <w:tcW w:w="2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b/>
                <w:color w:val="000000"/>
                <w:sz w:val="18"/>
                <w:szCs w:val="18"/>
              </w:rPr>
            </w:pPr>
            <w:r>
              <w:rPr>
                <w:rFonts w:hint="eastAsia" w:ascii="宋体" w:cs="宋体"/>
                <w:b/>
                <w:color w:val="000000"/>
                <w:kern w:val="0"/>
                <w:sz w:val="18"/>
                <w:szCs w:val="18"/>
              </w:rPr>
              <w:t>泸州市国有公房经营管理有限公司</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cs="宋体"/>
                <w:color w:val="000000"/>
                <w:kern w:val="0"/>
                <w:sz w:val="18"/>
                <w:szCs w:val="18"/>
              </w:rPr>
              <w:t>子公司</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755,826,069.43 </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cs="宋体"/>
                <w:color w:val="000000"/>
                <w:kern w:val="0"/>
                <w:sz w:val="18"/>
                <w:szCs w:val="18"/>
              </w:rPr>
              <w:t xml:space="preserve">5,765,646.82 </w:t>
            </w:r>
          </w:p>
        </w:tc>
      </w:tr>
    </w:tbl>
    <w:p>
      <w:pPr>
        <w:pStyle w:val="2"/>
      </w:pPr>
    </w:p>
    <w:p>
      <w:pPr>
        <w:widowControl/>
        <w:jc w:val="left"/>
        <w:rPr>
          <w:b/>
          <w:bCs/>
          <w:sz w:val="30"/>
          <w:szCs w:val="30"/>
        </w:rPr>
      </w:pPr>
      <w:bookmarkStart w:id="6" w:name="_Toc18629"/>
      <w:bookmarkStart w:id="7" w:name="_Toc496621345"/>
      <w:bookmarkStart w:id="8" w:name="_Toc32153"/>
      <w:bookmarkStart w:id="9" w:name="_Toc23716"/>
      <w:r>
        <w:rPr>
          <w:b/>
          <w:bCs/>
          <w:sz w:val="30"/>
          <w:szCs w:val="30"/>
        </w:rPr>
        <w:t>二、商务要求</w:t>
      </w:r>
      <w:bookmarkEnd w:id="6"/>
      <w:bookmarkEnd w:id="7"/>
      <w:bookmarkEnd w:id="8"/>
      <w:bookmarkEnd w:id="9"/>
    </w:p>
    <w:p>
      <w:pPr>
        <w:pStyle w:val="2"/>
        <w:spacing w:line="360" w:lineRule="auto"/>
        <w:ind w:firstLine="480"/>
        <w:rPr>
          <w:sz w:val="24"/>
        </w:rPr>
      </w:pPr>
      <w:r>
        <w:rPr>
          <w:sz w:val="24"/>
        </w:rPr>
        <w:t>1.对</w:t>
      </w:r>
      <w:r>
        <w:rPr>
          <w:rFonts w:hint="eastAsia"/>
          <w:sz w:val="24"/>
        </w:rPr>
        <w:t>西南医疗健康产业投资</w:t>
      </w:r>
      <w:r>
        <w:rPr>
          <w:sz w:val="24"/>
        </w:rPr>
        <w:t>集团有限公司合并报表进行审计并出具审计报告，对财务决算报表中的主附表及其重要附注进行披露。</w:t>
      </w:r>
    </w:p>
    <w:p>
      <w:pPr>
        <w:pStyle w:val="2"/>
        <w:spacing w:line="360" w:lineRule="auto"/>
        <w:ind w:firstLine="480"/>
        <w:rPr>
          <w:sz w:val="24"/>
        </w:rPr>
      </w:pPr>
      <w:r>
        <w:rPr>
          <w:sz w:val="24"/>
        </w:rPr>
        <w:t>2.对上述</w:t>
      </w:r>
      <w:r>
        <w:rPr>
          <w:rFonts w:hint="eastAsia"/>
          <w:sz w:val="24"/>
        </w:rPr>
        <w:t>22</w:t>
      </w:r>
      <w:r>
        <w:rPr>
          <w:sz w:val="24"/>
        </w:rPr>
        <w:t>家企业进行2020年报审计并分别出具审计报告，对财务决算报表中的主附表及其重要附注进行披露。</w:t>
      </w:r>
    </w:p>
    <w:p>
      <w:pPr>
        <w:pStyle w:val="2"/>
        <w:spacing w:line="360" w:lineRule="auto"/>
        <w:ind w:firstLine="480"/>
        <w:rPr>
          <w:sz w:val="24"/>
        </w:rPr>
      </w:pPr>
      <w:r>
        <w:rPr>
          <w:sz w:val="24"/>
        </w:rPr>
        <w:t>3.根据市国资委下达的年度经营目标，出具指标完成情况说明。</w:t>
      </w:r>
    </w:p>
    <w:p>
      <w:pPr>
        <w:pStyle w:val="2"/>
        <w:spacing w:line="360" w:lineRule="auto"/>
        <w:ind w:firstLine="480"/>
        <w:rPr>
          <w:sz w:val="24"/>
        </w:rPr>
      </w:pPr>
      <w:r>
        <w:rPr>
          <w:sz w:val="24"/>
        </w:rPr>
        <w:t>4.对公司上一年度职工工资总额和企业负责人薪酬实际发放情况进行审计。</w:t>
      </w:r>
    </w:p>
    <w:p>
      <w:pPr>
        <w:pStyle w:val="2"/>
        <w:spacing w:line="360" w:lineRule="auto"/>
        <w:ind w:firstLine="480"/>
        <w:rPr>
          <w:sz w:val="24"/>
        </w:rPr>
      </w:pPr>
      <w:r>
        <w:rPr>
          <w:sz w:val="24"/>
        </w:rPr>
        <w:t>5.对公司国有资本经营收益计算基数调整情况进行审计。</w:t>
      </w:r>
    </w:p>
    <w:p>
      <w:pPr>
        <w:pStyle w:val="2"/>
        <w:spacing w:line="360" w:lineRule="auto"/>
        <w:ind w:firstLine="480"/>
        <w:rPr>
          <w:sz w:val="24"/>
        </w:rPr>
      </w:pPr>
      <w:r>
        <w:rPr>
          <w:sz w:val="24"/>
        </w:rPr>
        <w:t>6.对泸州市本级股权投资增减变动情况进行审计。</w:t>
      </w:r>
    </w:p>
    <w:p>
      <w:pPr>
        <w:pStyle w:val="2"/>
        <w:spacing w:line="360" w:lineRule="auto"/>
        <w:ind w:firstLine="480"/>
        <w:rPr>
          <w:sz w:val="24"/>
        </w:rPr>
      </w:pPr>
      <w:r>
        <w:rPr>
          <w:sz w:val="24"/>
        </w:rPr>
        <w:t>7.对公司安全生产工作情况进行审计。</w:t>
      </w:r>
    </w:p>
    <w:p>
      <w:pPr>
        <w:pStyle w:val="2"/>
        <w:spacing w:line="360" w:lineRule="auto"/>
        <w:ind w:firstLine="480"/>
        <w:rPr>
          <w:sz w:val="24"/>
        </w:rPr>
      </w:pPr>
      <w:r>
        <w:rPr>
          <w:sz w:val="24"/>
        </w:rPr>
        <w:t>8.对</w:t>
      </w:r>
      <w:r>
        <w:rPr>
          <w:rFonts w:hint="eastAsia"/>
          <w:sz w:val="24"/>
        </w:rPr>
        <w:t>西南医疗健康产业</w:t>
      </w:r>
      <w:r>
        <w:rPr>
          <w:sz w:val="24"/>
        </w:rPr>
        <w:t>投资集团有限公司出具专项管理建议书。</w:t>
      </w:r>
    </w:p>
    <w:p>
      <w:pPr>
        <w:pStyle w:val="2"/>
        <w:spacing w:line="360" w:lineRule="auto"/>
        <w:ind w:firstLine="480"/>
        <w:rPr>
          <w:sz w:val="24"/>
        </w:rPr>
      </w:pPr>
      <w:r>
        <w:rPr>
          <w:sz w:val="24"/>
        </w:rPr>
        <w:t>9.</w:t>
      </w:r>
      <w:r>
        <w:rPr>
          <w:rFonts w:hint="eastAsia"/>
          <w:sz w:val="24"/>
        </w:rPr>
        <w:t>市</w:t>
      </w:r>
      <w:r>
        <w:rPr>
          <w:sz w:val="24"/>
        </w:rPr>
        <w:t>国资委要求的其他有关年报审计的报告。</w:t>
      </w:r>
    </w:p>
    <w:p>
      <w:pPr>
        <w:pStyle w:val="2"/>
        <w:spacing w:line="360" w:lineRule="auto"/>
        <w:rPr>
          <w:sz w:val="24"/>
        </w:rPr>
      </w:pPr>
      <w:r>
        <w:rPr>
          <w:sz w:val="24"/>
        </w:rPr>
        <w:t xml:space="preserve">    10.服务时间：2021年3月5日前出具正式审计报告。审计基准日为2020年12月31日。</w:t>
      </w:r>
    </w:p>
    <w:p>
      <w:pPr>
        <w:spacing w:line="360" w:lineRule="auto"/>
        <w:ind w:firstLine="480" w:firstLineChars="200"/>
        <w:rPr>
          <w:sz w:val="24"/>
        </w:rPr>
      </w:pPr>
      <w:r>
        <w:rPr>
          <w:sz w:val="24"/>
        </w:rPr>
        <w:t>11.付款方式：各企业对审计报告验收合格后，在收到</w:t>
      </w:r>
      <w:r>
        <w:rPr>
          <w:rFonts w:hint="eastAsia"/>
          <w:sz w:val="24"/>
        </w:rPr>
        <w:t>审计</w:t>
      </w:r>
      <w:r>
        <w:rPr>
          <w:sz w:val="24"/>
        </w:rPr>
        <w:t>机构开具的增值税专用发票后十个工作日内由各企业一次性付清。</w:t>
      </w:r>
    </w:p>
    <w:bookmarkEnd w:id="5"/>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44DE13"/>
    <w:multiLevelType w:val="singleLevel"/>
    <w:tmpl w:val="D644DE13"/>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0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2020-12-18T00:20:18Z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